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63.png" ContentType="image/png"/>
  <Override PartName="/word/media/rId67.png" ContentType="image/png"/>
  <Override PartName="/word/media/rId59.png" ContentType="image/png"/>
  <Override PartName="/word/media/image1.png" ContentType="image/png"/>
  <Override PartName="/word/media/image3.png" ContentType="image/png"/>
  <Override PartName="/word/media/image5.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LGB</w:t>
      </w:r>
      <w:r>
        <w:t xml:space="preserve"> </w:t>
      </w:r>
      <w:r>
        <w:t xml:space="preserve">Policy</w:t>
      </w:r>
      <w:r>
        <w:t xml:space="preserve"> </w:t>
      </w:r>
      <w:r>
        <w:t xml:space="preserve">and</w:t>
      </w:r>
      <w:r>
        <w:t xml:space="preserve"> </w:t>
      </w:r>
      <w:r>
        <w:t xml:space="preserve">the</w:t>
      </w:r>
      <w:r>
        <w:t xml:space="preserve"> </w:t>
      </w:r>
      <w:r>
        <w:t xml:space="preserve">Geography</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Subtitle"/>
      </w:pPr>
      <w:r>
        <w:t xml:space="preserve">Same-sex</w:t>
      </w:r>
      <w:r>
        <w:t xml:space="preserve"> </w:t>
      </w:r>
      <w:r>
        <w:t xml:space="preserve">marriage</w:t>
      </w:r>
      <w:r>
        <w:t xml:space="preserve"> </w:t>
      </w:r>
      <w:r>
        <w:t xml:space="preserve">and</w:t>
      </w:r>
      <w:r>
        <w:t xml:space="preserve"> </w:t>
      </w:r>
      <w:r>
        <w:t xml:space="preserve">Migration</w:t>
      </w:r>
      <w:r>
        <w:t xml:space="preserve"> </w:t>
      </w:r>
      <w:r>
        <w:t xml:space="preserve">Workshop</w:t>
      </w:r>
      <w:r>
        <w:t xml:space="preserve"> </w:t>
      </w:r>
      <w:r>
        <w:t xml:space="preserve">in</w:t>
      </w:r>
      <w:r>
        <w:t xml:space="preserve"> </w:t>
      </w:r>
      <w:r>
        <w:t xml:space="preserve">Amsterdam</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UCLA</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August</w:t>
      </w:r>
      <w:r>
        <w:t xml:space="preserve"> </w:t>
      </w:r>
      <w:r>
        <w:t xml:space="preserve">27,</w:t>
      </w:r>
      <w:r>
        <w:t xml:space="preserve"> </w:t>
      </w:r>
      <w:r>
        <w:t xml:space="preserve">2024</w:t>
      </w:r>
    </w:p>
    <w:p>
      <w:pPr>
        <w:pStyle w:val="AbstractTitle"/>
      </w:pPr>
      <w:r>
        <w:t xml:space="preserve">Abstract</w:t>
      </w:r>
    </w:p>
    <w:p>
      <w:pPr>
        <w:pStyle w:val="Abstract"/>
      </w:pPr>
      <w:r>
        <w:t xml:space="preserve">How</w:t>
      </w:r>
      <w:r>
        <w:t xml:space="preserve"> </w:t>
      </w:r>
      <w:r>
        <w:t xml:space="preserve">do</w:t>
      </w:r>
      <w:r>
        <w:t xml:space="preserve"> </w:t>
      </w:r>
      <w:r>
        <w:t xml:space="preserve">queer</w:t>
      </w:r>
      <w:r>
        <w:t xml:space="preserve"> </w:t>
      </w:r>
      <w:r>
        <w:t xml:space="preserve">immigrants</w:t>
      </w:r>
      <w:r>
        <w:t xml:space="preserve"> </w:t>
      </w:r>
      <w:r>
        <w:t xml:space="preserve">decide</w:t>
      </w:r>
      <w:r>
        <w:t xml:space="preserve"> </w:t>
      </w:r>
      <w:r>
        <w:t xml:space="preserve">where</w:t>
      </w:r>
      <w:r>
        <w:t xml:space="preserve"> </w:t>
      </w:r>
      <w:r>
        <w:t xml:space="preserve">to</w:t>
      </w:r>
      <w:r>
        <w:t xml:space="preserve"> </w:t>
      </w:r>
      <w:r>
        <w:t xml:space="preserve">settle?</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r>
        <w:t xml:space="preserve"> </w:t>
      </w:r>
      <w:r>
        <w:t xml:space="preserve">has</w:t>
      </w:r>
      <w:r>
        <w:t xml:space="preserve"> </w:t>
      </w:r>
      <w:r>
        <w:t xml:space="preserve">changed</w:t>
      </w:r>
      <w:r>
        <w:t xml:space="preserve"> </w:t>
      </w:r>
      <w:r>
        <w:t xml:space="preserve">rapidly</w:t>
      </w:r>
      <w:r>
        <w:t xml:space="preserve"> </w:t>
      </w:r>
      <w:r>
        <w:t xml:space="preserve">in</w:t>
      </w:r>
      <w:r>
        <w:t xml:space="preserve"> </w:t>
      </w:r>
      <w:r>
        <w:t xml:space="preserve">recent</w:t>
      </w:r>
      <w:r>
        <w:t xml:space="preserve"> </w:t>
      </w:r>
      <w:r>
        <w:t xml:space="preserve">years,</w:t>
      </w:r>
      <w:r>
        <w:t xml:space="preserve"> </w:t>
      </w:r>
      <w:r>
        <w:t xml:space="preserve">with</w:t>
      </w:r>
      <w:r>
        <w:t xml:space="preserve"> </w:t>
      </w:r>
      <w:r>
        <w:t xml:space="preserve">immigrants</w:t>
      </w:r>
      <w:r>
        <w:t xml:space="preserve"> </w:t>
      </w:r>
      <w:r>
        <w:t xml:space="preserve">being</w:t>
      </w:r>
      <w:r>
        <w:t xml:space="preserve"> </w:t>
      </w:r>
      <w:r>
        <w:t xml:space="preserve">particularly</w:t>
      </w:r>
      <w:r>
        <w:t xml:space="preserve"> </w:t>
      </w:r>
      <w:r>
        <w:t xml:space="preserve">affected.</w:t>
      </w:r>
      <w:r>
        <w:t xml:space="preserve"> </w:t>
      </w:r>
      <w:r>
        <w:t xml:space="preserve">After</w:t>
      </w:r>
      <w:r>
        <w:t xml:space="preserve"> </w:t>
      </w:r>
      <w:r>
        <w:t xml:space="preserve">the</w:t>
      </w:r>
      <w:r>
        <w:t xml:space="preserve"> </w:t>
      </w:r>
      <w:r>
        <w:t xml:space="preserve">2013</w:t>
      </w:r>
      <w:r>
        <w:t xml:space="preserve"> </w:t>
      </w:r>
      <w:r>
        <w:t xml:space="preserve">end</w:t>
      </w:r>
      <w:r>
        <w:t xml:space="preserve"> </w:t>
      </w:r>
      <w:r>
        <w:t xml:space="preserve">of</w:t>
      </w:r>
      <w:r>
        <w:t xml:space="preserve"> </w:t>
      </w:r>
      <w:r>
        <w:t xml:space="preserve">the</w:t>
      </w:r>
      <w:r>
        <w:t xml:space="preserve"> </w:t>
      </w:r>
      <w:r>
        <w:t xml:space="preserve">Defense</w:t>
      </w:r>
      <w:r>
        <w:t xml:space="preserve"> </w:t>
      </w:r>
      <w:r>
        <w:t xml:space="preserve">of</w:t>
      </w:r>
      <w:r>
        <w:t xml:space="preserve"> </w:t>
      </w:r>
      <w:r>
        <w:t xml:space="preserve">Marriage</w:t>
      </w:r>
      <w:r>
        <w:t xml:space="preserve"> </w:t>
      </w:r>
      <w:r>
        <w:t xml:space="preserve">Act,</w:t>
      </w:r>
      <w:r>
        <w:t xml:space="preserve"> </w:t>
      </w:r>
      <w:r>
        <w:t xml:space="preserve">U.S.</w:t>
      </w:r>
      <w:r>
        <w:t xml:space="preserve"> </w:t>
      </w:r>
      <w:r>
        <w:t xml:space="preserve">citizens</w:t>
      </w:r>
      <w:r>
        <w:t xml:space="preserve"> </w:t>
      </w:r>
      <w:r>
        <w:t xml:space="preserve">could</w:t>
      </w:r>
      <w:r>
        <w:t xml:space="preserve"> </w:t>
      </w:r>
      <w:r>
        <w:t xml:space="preserve">finally</w:t>
      </w:r>
      <w:r>
        <w:t xml:space="preserve"> </w:t>
      </w:r>
      <w:r>
        <w:t xml:space="preserve">sponsor</w:t>
      </w:r>
      <w:r>
        <w:t xml:space="preserve"> </w:t>
      </w:r>
      <w:r>
        <w:t xml:space="preserve">the</w:t>
      </w:r>
      <w:r>
        <w:t xml:space="preserve"> </w:t>
      </w:r>
      <w:r>
        <w:t xml:space="preserve">visa</w:t>
      </w:r>
      <w:r>
        <w:t xml:space="preserve"> </w:t>
      </w:r>
      <w:r>
        <w:t xml:space="preserve">of</w:t>
      </w:r>
      <w:r>
        <w:t xml:space="preserve"> </w:t>
      </w:r>
      <w:r>
        <w:t xml:space="preserve">a</w:t>
      </w:r>
      <w:r>
        <w:t xml:space="preserve"> </w:t>
      </w:r>
      <w:r>
        <w:t xml:space="preserve">same-sex</w:t>
      </w:r>
      <w:r>
        <w:t xml:space="preserve"> </w:t>
      </w:r>
      <w:r>
        <w:t xml:space="preserve">partner.</w:t>
      </w:r>
      <w:r>
        <w:t xml:space="preserve"> </w:t>
      </w:r>
      <w:r>
        <w:t xml:space="preserve">As</w:t>
      </w:r>
      <w:r>
        <w:t xml:space="preserve"> </w:t>
      </w:r>
      <w:r>
        <w:t xml:space="preserve">previous</w:t>
      </w:r>
      <w:r>
        <w:t xml:space="preserve"> </w:t>
      </w:r>
      <w:r>
        <w:t xml:space="preserve">work</w:t>
      </w:r>
      <w:r>
        <w:t xml:space="preserve"> </w:t>
      </w:r>
      <w:r>
        <w:t xml:space="preserve">of</w:t>
      </w:r>
      <w:r>
        <w:t xml:space="preserve"> </w:t>
      </w:r>
      <w:r>
        <w:t xml:space="preserve">ours</w:t>
      </w:r>
      <w:r>
        <w:t xml:space="preserve"> </w:t>
      </w:r>
      <w:r>
        <w:t xml:space="preserve">has</w:t>
      </w:r>
      <w:r>
        <w:t xml:space="preserve"> </w:t>
      </w:r>
      <w:r>
        <w:t xml:space="preserve">shown,</w:t>
      </w:r>
      <w:r>
        <w:t xml:space="preserve"> </w:t>
      </w:r>
      <w:r>
        <w:t xml:space="preserve">in</w:t>
      </w:r>
      <w:r>
        <w:t xml:space="preserve"> </w:t>
      </w:r>
      <w:r>
        <w:t xml:space="preserve">the</w:t>
      </w:r>
      <w:r>
        <w:t xml:space="preserve"> </w:t>
      </w:r>
      <w:r>
        <w:t xml:space="preserve">wake</w:t>
      </w:r>
      <w:r>
        <w:t xml:space="preserve"> </w:t>
      </w:r>
      <w:r>
        <w:t xml:space="preserve">of</w:t>
      </w:r>
      <w:r>
        <w:t xml:space="preserve"> </w:t>
      </w:r>
      <w:r>
        <w:t xml:space="preserve">this</w:t>
      </w:r>
      <w:r>
        <w:t xml:space="preserve"> </w:t>
      </w:r>
      <w:r>
        <w:t xml:space="preserve">policy</w:t>
      </w:r>
      <w:r>
        <w:t xml:space="preserve"> </w:t>
      </w:r>
      <w:r>
        <w:t xml:space="preserve">change</w:t>
      </w:r>
      <w:r>
        <w:t xml:space="preserve"> </w:t>
      </w:r>
      <w:r>
        <w:t xml:space="preserve">there</w:t>
      </w:r>
      <w:r>
        <w:t xml:space="preserve"> </w:t>
      </w:r>
      <w:r>
        <w:t xml:space="preserve">has</w:t>
      </w:r>
      <w:r>
        <w:t xml:space="preserve"> </w:t>
      </w:r>
      <w:r>
        <w:t xml:space="preserve">been</w:t>
      </w:r>
      <w:r>
        <w:t xml:space="preserve"> </w:t>
      </w:r>
      <w:r>
        <w:t xml:space="preserve">a</w:t>
      </w:r>
      <w:r>
        <w:t xml:space="preserve"> </w:t>
      </w:r>
      <w:r>
        <w:t xml:space="preserve">rapid</w:t>
      </w:r>
      <w:r>
        <w:t xml:space="preserve"> </w:t>
      </w:r>
      <w:r>
        <w:t xml:space="preserve">increase</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at</w:t>
      </w:r>
      <w:r>
        <w:t xml:space="preserve"> </w:t>
      </w:r>
      <w:r>
        <w:t xml:space="preserve">least</w:t>
      </w:r>
      <w:r>
        <w:t xml:space="preserve"> </w:t>
      </w:r>
      <w:r>
        <w:t xml:space="preserve">for</w:t>
      </w:r>
      <w:r>
        <w:t xml:space="preserve"> </w:t>
      </w:r>
      <w:r>
        <w:t xml:space="preserve">those</w:t>
      </w:r>
      <w:r>
        <w:t xml:space="preserve"> </w:t>
      </w:r>
      <w:r>
        <w:t xml:space="preserve">from</w:t>
      </w:r>
      <w:r>
        <w:t xml:space="preserve"> </w:t>
      </w:r>
      <w:r>
        <w:t xml:space="preserve">progressive</w:t>
      </w:r>
      <w:r>
        <w:t xml:space="preserve"> </w:t>
      </w:r>
      <w:r>
        <w:t xml:space="preserve">countries</w:t>
      </w:r>
      <w:r>
        <w:t xml:space="preserve"> </w:t>
      </w:r>
      <w:r>
        <w:t xml:space="preserve">(Hoffmann</w:t>
      </w:r>
      <w:r>
        <w:t xml:space="preserve"> </w:t>
      </w:r>
      <w:r>
        <w:t xml:space="preserve">&amp;</w:t>
      </w:r>
      <w:r>
        <w:t xml:space="preserve"> </w:t>
      </w:r>
      <w:r>
        <w:t xml:space="preserve">Velasco</w:t>
      </w:r>
      <w:r>
        <w:t xml:space="preserve"> </w:t>
      </w:r>
      <w:r>
        <w:t xml:space="preserve">2024).</w:t>
      </w:r>
      <w:r>
        <w:t xml:space="preserve"> </w:t>
      </w:r>
      <w:r>
        <w:t xml:space="preserve">But</w:t>
      </w:r>
      <w:r>
        <w:t xml:space="preserve"> </w:t>
      </w:r>
      <w:r>
        <w:t xml:space="preserve">little</w:t>
      </w:r>
      <w:r>
        <w:t xml:space="preserve"> </w:t>
      </w:r>
      <w:r>
        <w:t xml:space="preserve">is</w:t>
      </w:r>
      <w:r>
        <w:t xml:space="preserve"> </w:t>
      </w:r>
      <w:r>
        <w:t xml:space="preserve">known</w:t>
      </w:r>
      <w:r>
        <w:t xml:space="preserve"> </w:t>
      </w:r>
      <w:r>
        <w:t xml:space="preserve">about</w:t>
      </w:r>
      <w:r>
        <w:t xml:space="preserve"> </w:t>
      </w:r>
      <w:r>
        <w:t xml:space="preserve">where</w:t>
      </w:r>
      <w:r>
        <w:t xml:space="preserve"> </w:t>
      </w:r>
      <w:r>
        <w:t xml:space="preserve">these</w:t>
      </w:r>
      <w:r>
        <w:t xml:space="preserve"> </w:t>
      </w:r>
      <w:r>
        <w:t xml:space="preserve">immigrants</w:t>
      </w:r>
      <w:r>
        <w:t xml:space="preserve"> </w:t>
      </w:r>
      <w:r>
        <w:t xml:space="preserve">choose</w:t>
      </w:r>
      <w:r>
        <w:t xml:space="preserve"> </w:t>
      </w:r>
      <w:r>
        <w:t xml:space="preserve">to</w:t>
      </w:r>
      <w:r>
        <w:t xml:space="preserve"> </w:t>
      </w:r>
      <w:r>
        <w:t xml:space="preserve">settle</w:t>
      </w:r>
      <w:r>
        <w:t xml:space="preserve"> </w:t>
      </w:r>
      <w:r>
        <w:t xml:space="preserve">and</w:t>
      </w:r>
      <w:r>
        <w:t xml:space="preserve"> </w:t>
      </w:r>
      <w:r>
        <w:t xml:space="preserve">enjoy</w:t>
      </w:r>
      <w:r>
        <w:t xml:space="preserve"> </w:t>
      </w:r>
      <w:r>
        <w:t xml:space="preserve">their</w:t>
      </w:r>
      <w:r>
        <w:t xml:space="preserve"> </w:t>
      </w:r>
      <w:r>
        <w:t xml:space="preserve">new</w:t>
      </w:r>
      <w:r>
        <w:t xml:space="preserve"> </w:t>
      </w:r>
      <w:r>
        <w:t xml:space="preserve">rights.</w:t>
      </w:r>
      <w:r>
        <w:t xml:space="preserve"> </w:t>
      </w:r>
      <w:r>
        <w:t xml:space="preserve">Do</w:t>
      </w:r>
      <w:r>
        <w:t xml:space="preserve"> </w:t>
      </w:r>
      <w:r>
        <w:t xml:space="preserve">they</w:t>
      </w:r>
      <w:r>
        <w:t xml:space="preserve"> </w:t>
      </w:r>
      <w:r>
        <w:t xml:space="preserve">gravitate</w:t>
      </w:r>
      <w:r>
        <w:t xml:space="preserve"> </w:t>
      </w:r>
      <w:r>
        <w:t xml:space="preserve">toward</w:t>
      </w:r>
      <w:r>
        <w:t xml:space="preserve"> </w:t>
      </w:r>
      <w:r>
        <w:t xml:space="preserve">queer-friendly</w:t>
      </w:r>
      <w:r>
        <w:t xml:space="preserve"> </w:t>
      </w:r>
      <w:r>
        <w:t xml:space="preserve">cities</w:t>
      </w:r>
      <w:r>
        <w:t xml:space="preserve"> </w:t>
      </w:r>
      <w:r>
        <w:t xml:space="preserve">and</w:t>
      </w:r>
      <w:r>
        <w:t xml:space="preserve"> </w:t>
      </w:r>
      <w:r>
        <w:t xml:space="preserve">states,</w:t>
      </w:r>
      <w:r>
        <w:t xml:space="preserve"> </w:t>
      </w:r>
      <w:r>
        <w:t xml:space="preserve">or</w:t>
      </w:r>
      <w:r>
        <w:t xml:space="preserve"> </w:t>
      </w:r>
      <w:r>
        <w:t xml:space="preserve">are</w:t>
      </w:r>
      <w:r>
        <w:t xml:space="preserve"> </w:t>
      </w:r>
      <w:r>
        <w:t xml:space="preserve">they</w:t>
      </w:r>
      <w:r>
        <w:t xml:space="preserve"> </w:t>
      </w:r>
      <w:r>
        <w:t xml:space="preserve">more</w:t>
      </w:r>
      <w:r>
        <w:t xml:space="preserve"> </w:t>
      </w:r>
      <w:r>
        <w:t xml:space="preserve">concerned</w:t>
      </w:r>
      <w:r>
        <w:t xml:space="preserve"> </w:t>
      </w:r>
      <w:r>
        <w:t xml:space="preserve">with</w:t>
      </w:r>
      <w:r>
        <w:t xml:space="preserve"> </w:t>
      </w:r>
      <w:r>
        <w:t xml:space="preserve">job</w:t>
      </w:r>
      <w:r>
        <w:t xml:space="preserve"> </w:t>
      </w:r>
      <w:r>
        <w:t xml:space="preserve">opportunities</w:t>
      </w:r>
      <w:r>
        <w:t xml:space="preserve"> </w:t>
      </w:r>
      <w:r>
        <w:t xml:space="preserve">or</w:t>
      </w:r>
      <w:r>
        <w:t xml:space="preserve"> </w:t>
      </w:r>
      <w:r>
        <w:t xml:space="preserve">cost</w:t>
      </w:r>
      <w:r>
        <w:t xml:space="preserve"> </w:t>
      </w:r>
      <w:r>
        <w:t xml:space="preserve">of</w:t>
      </w:r>
      <w:r>
        <w:t xml:space="preserve"> </w:t>
      </w:r>
      <w:r>
        <w:t xml:space="preserve">living?</w:t>
      </w:r>
      <w:r>
        <w:t xml:space="preserve"> </w:t>
      </w:r>
      <w:r>
        <w:t xml:space="preserve">How</w:t>
      </w:r>
      <w:r>
        <w:t xml:space="preserve"> </w:t>
      </w:r>
      <w:r>
        <w:t xml:space="preserve">have</w:t>
      </w:r>
      <w:r>
        <w:t xml:space="preserve"> </w:t>
      </w:r>
      <w:r>
        <w:t xml:space="preserve">these</w:t>
      </w:r>
      <w:r>
        <w:t xml:space="preserve"> </w:t>
      </w:r>
      <w:r>
        <w:t xml:space="preserve">patterns</w:t>
      </w:r>
      <w:r>
        <w:t xml:space="preserve"> </w:t>
      </w:r>
      <w:r>
        <w:t xml:space="preserve">changed</w:t>
      </w:r>
      <w:r>
        <w:t xml:space="preserve"> </w:t>
      </w:r>
      <w:r>
        <w:t xml:space="preserve">over</w:t>
      </w:r>
      <w:r>
        <w:t xml:space="preserve"> </w:t>
      </w:r>
      <w:r>
        <w:t xml:space="preserve">time,</w:t>
      </w:r>
      <w:r>
        <w:t xml:space="preserve"> </w:t>
      </w:r>
      <w:r>
        <w:t xml:space="preserve">especially</w:t>
      </w:r>
      <w:r>
        <w:t xml:space="preserve"> </w:t>
      </w:r>
      <w:r>
        <w:t xml:space="preserve">in</w:t>
      </w:r>
      <w:r>
        <w:t xml:space="preserve"> </w:t>
      </w:r>
      <w:r>
        <w:t xml:space="preserve">response</w:t>
      </w:r>
      <w:r>
        <w:t xml:space="preserve"> </w:t>
      </w:r>
      <w:r>
        <w:t xml:space="preserve">to</w:t>
      </w:r>
      <w:r>
        <w:t xml:space="preserve"> </w:t>
      </w:r>
      <w:r>
        <w:t xml:space="preserve">local</w:t>
      </w:r>
      <w:r>
        <w:t xml:space="preserve"> </w:t>
      </w:r>
      <w:r>
        <w:t xml:space="preserve">policy</w:t>
      </w:r>
      <w:r>
        <w:t xml:space="preserve"> </w:t>
      </w:r>
      <w:r>
        <w:t xml:space="preserve">changes</w:t>
      </w:r>
      <w:r>
        <w:t xml:space="preserve"> </w:t>
      </w:r>
      <w:r>
        <w:t xml:space="preserve">relevant</w:t>
      </w:r>
      <w:r>
        <w:t xml:space="preserve"> </w:t>
      </w:r>
      <w:r>
        <w:t xml:space="preserve">to</w:t>
      </w:r>
      <w:r>
        <w:t xml:space="preserve"> </w:t>
      </w:r>
      <w:r>
        <w:t xml:space="preserve">queer</w:t>
      </w:r>
      <w:r>
        <w:t xml:space="preserve"> </w:t>
      </w:r>
      <w:r>
        <w:t xml:space="preserve">people</w:t>
      </w:r>
      <w:r>
        <w:t xml:space="preserve"> </w:t>
      </w:r>
      <w:r>
        <w:t xml:space="preserve">and</w:t>
      </w:r>
      <w:r>
        <w:t xml:space="preserve"> </w:t>
      </w:r>
      <w:r>
        <w:t xml:space="preserve">immigrants?</w:t>
      </w:r>
      <w:r>
        <w:t xml:space="preserve"> </w:t>
      </w:r>
      <w:r>
        <w:t xml:space="preserve">Using</w:t>
      </w:r>
      <w:r>
        <w:t xml:space="preserve"> </w:t>
      </w:r>
      <w:r>
        <w:t xml:space="preserve">American</w:t>
      </w:r>
      <w:r>
        <w:t xml:space="preserve"> </w:t>
      </w:r>
      <w:r>
        <w:t xml:space="preserve">Community</w:t>
      </w:r>
      <w:r>
        <w:t xml:space="preserve"> </w:t>
      </w:r>
      <w:r>
        <w:t xml:space="preserve">Survey</w:t>
      </w:r>
      <w:r>
        <w:t xml:space="preserve"> </w:t>
      </w:r>
      <w:r>
        <w:t xml:space="preserve">data</w:t>
      </w:r>
      <w:r>
        <w:t xml:space="preserve"> </w:t>
      </w:r>
      <w:r>
        <w:t xml:space="preserve">from</w:t>
      </w:r>
      <w:r>
        <w:t xml:space="preserve"> </w:t>
      </w:r>
      <w:r>
        <w:t xml:space="preserve">2008-2022,</w:t>
      </w:r>
      <w:r>
        <w:t xml:space="preserve"> </w:t>
      </w:r>
      <w:r>
        <w:t xml:space="preserve">this</w:t>
      </w:r>
      <w:r>
        <w:t xml:space="preserve"> </w:t>
      </w:r>
      <w:r>
        <w:t xml:space="preserve">paper</w:t>
      </w:r>
      <w:r>
        <w:t xml:space="preserve"> </w:t>
      </w:r>
      <w:r>
        <w:t xml:space="preserve">will</w:t>
      </w:r>
      <w:r>
        <w:t xml:space="preserve"> </w:t>
      </w:r>
      <w:r>
        <w:t xml:space="preserve">implement</w:t>
      </w:r>
      <w:r>
        <w:t xml:space="preserve"> </w:t>
      </w:r>
      <w:r>
        <w:t xml:space="preserve">descriptive</w:t>
      </w:r>
      <w:r>
        <w:t xml:space="preserve"> </w:t>
      </w:r>
      <w:r>
        <w:t xml:space="preserve">analyses</w:t>
      </w:r>
      <w:r>
        <w:t xml:space="preserve"> </w:t>
      </w:r>
      <w:r>
        <w:t xml:space="preserve">and</w:t>
      </w:r>
      <w:r>
        <w:t xml:space="preserve"> </w:t>
      </w:r>
      <w:r>
        <w:t xml:space="preserve">conditional</w:t>
      </w:r>
      <w:r>
        <w:t xml:space="preserve"> </w:t>
      </w:r>
      <w:r>
        <w:t xml:space="preserve">logit</w:t>
      </w:r>
      <w:r>
        <w:t xml:space="preserve"> </w:t>
      </w:r>
      <w:r>
        <w:t xml:space="preserve">models</w:t>
      </w:r>
      <w:r>
        <w:t xml:space="preserve"> </w:t>
      </w:r>
      <w:r>
        <w:t xml:space="preserve">to</w:t>
      </w:r>
      <w:r>
        <w:t xml:space="preserve"> </w:t>
      </w:r>
      <w:r>
        <w:t xml:space="preserve">study</w:t>
      </w:r>
      <w:r>
        <w:t xml:space="preserve"> </w:t>
      </w:r>
      <w:r>
        <w:t xml:space="preserve">how</w:t>
      </w:r>
      <w:r>
        <w:t xml:space="preserve"> </w:t>
      </w:r>
      <w:r>
        <w:t xml:space="preserve">settlement</w:t>
      </w:r>
      <w:r>
        <w:t xml:space="preserve"> </w:t>
      </w:r>
      <w:r>
        <w:t xml:space="preserve">patterns</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respond</w:t>
      </w:r>
      <w:r>
        <w:t xml:space="preserve"> </w:t>
      </w:r>
      <w:r>
        <w:t xml:space="preserve">to</w:t>
      </w:r>
      <w:r>
        <w:t xml:space="preserve"> </w:t>
      </w:r>
      <w:r>
        <w:t xml:space="preserve">local</w:t>
      </w:r>
      <w:r>
        <w:t xml:space="preserve"> </w:t>
      </w:r>
      <w:r>
        <w:t xml:space="preserve">and</w:t>
      </w:r>
      <w:r>
        <w:t xml:space="preserve"> </w:t>
      </w:r>
      <w:r>
        <w:t xml:space="preserve">national</w:t>
      </w:r>
      <w:r>
        <w:t xml:space="preserve"> </w:t>
      </w:r>
      <w:r>
        <w:t xml:space="preserve">policy</w:t>
      </w:r>
      <w:r>
        <w:t xml:space="preserve"> </w:t>
      </w:r>
      <w:r>
        <w:t xml:space="preserve">changes</w:t>
      </w:r>
      <w:r>
        <w:t xml:space="preserve"> </w:t>
      </w:r>
      <w:r>
        <w:t xml:space="preserve">as</w:t>
      </w:r>
      <w:r>
        <w:t xml:space="preserve"> </w:t>
      </w:r>
      <w:r>
        <w:t xml:space="preserve">well</w:t>
      </w:r>
      <w:r>
        <w:t xml:space="preserve"> </w:t>
      </w:r>
      <w:r>
        <w:t xml:space="preserve">as</w:t>
      </w:r>
      <w:r>
        <w:t xml:space="preserve"> </w:t>
      </w:r>
      <w:r>
        <w:t xml:space="preserve">other</w:t>
      </w:r>
      <w:r>
        <w:t xml:space="preserve"> </w:t>
      </w:r>
      <w:r>
        <w:t xml:space="preserve">local</w:t>
      </w:r>
      <w:r>
        <w:t xml:space="preserve"> </w:t>
      </w:r>
      <w:r>
        <w:t xml:space="preserve">factors.</w:t>
      </w:r>
      <w:r>
        <w:t xml:space="preserve"> </w:t>
      </w:r>
      <w:r>
        <w:t xml:space="preserve">These</w:t>
      </w:r>
      <w:r>
        <w:t xml:space="preserve"> </w:t>
      </w:r>
      <w:r>
        <w:t xml:space="preserve">geographic</w:t>
      </w:r>
      <w:r>
        <w:t xml:space="preserve"> </w:t>
      </w:r>
      <w:r>
        <w:t xml:space="preserve">measures</w:t>
      </w:r>
      <w:r>
        <w:t xml:space="preserve"> </w:t>
      </w:r>
      <w:r>
        <w:t xml:space="preserve">will</w:t>
      </w:r>
      <w:r>
        <w:t xml:space="preserve"> </w:t>
      </w:r>
      <w:r>
        <w:t xml:space="preserve">include</w:t>
      </w:r>
      <w:r>
        <w:t xml:space="preserve"> </w:t>
      </w:r>
      <w:r>
        <w:t xml:space="preserve">the</w:t>
      </w:r>
      <w:r>
        <w:t xml:space="preserve"> </w:t>
      </w:r>
      <w:r>
        <w:t xml:space="preserve">Human</w:t>
      </w:r>
      <w:r>
        <w:t xml:space="preserve"> </w:t>
      </w:r>
      <w:r>
        <w:t xml:space="preserve">Rights</w:t>
      </w:r>
      <w:r>
        <w:t xml:space="preserve"> </w:t>
      </w:r>
      <w:r>
        <w:t xml:space="preserve">Campaign’s</w:t>
      </w:r>
      <w:r>
        <w:t xml:space="preserve"> </w:t>
      </w:r>
      <w:r>
        <w:t xml:space="preserve">Municipal</w:t>
      </w:r>
      <w:r>
        <w:t xml:space="preserve"> </w:t>
      </w:r>
      <w:r>
        <w:t xml:space="preserve">Equality</w:t>
      </w:r>
      <w:r>
        <w:t xml:space="preserve"> </w:t>
      </w:r>
      <w:r>
        <w:t xml:space="preserve">Index,</w:t>
      </w:r>
      <w:r>
        <w:t xml:space="preserve"> </w:t>
      </w:r>
      <w:r>
        <w:t xml:space="preserve">Velasco’s</w:t>
      </w:r>
      <w:r>
        <w:t xml:space="preserve"> </w:t>
      </w:r>
      <w:r>
        <w:t xml:space="preserve">LGBT</w:t>
      </w:r>
      <w:r>
        <w:t xml:space="preserve"> </w:t>
      </w:r>
      <w:r>
        <w:t xml:space="preserve">Policy</w:t>
      </w:r>
      <w:r>
        <w:t xml:space="preserve"> </w:t>
      </w:r>
      <w:r>
        <w:t xml:space="preserve">Index</w:t>
      </w:r>
      <w:r>
        <w:t xml:space="preserve"> </w:t>
      </w:r>
      <w:r>
        <w:t xml:space="preserve">for</w:t>
      </w:r>
      <w:r>
        <w:t xml:space="preserve"> </w:t>
      </w:r>
      <w:r>
        <w:t xml:space="preserve">U.S.</w:t>
      </w:r>
      <w:r>
        <w:t xml:space="preserve"> </w:t>
      </w:r>
      <w:r>
        <w:t xml:space="preserve">states,</w:t>
      </w:r>
      <w:r>
        <w:t xml:space="preserve"> </w:t>
      </w:r>
      <w:r>
        <w:t xml:space="preserve">and</w:t>
      </w:r>
      <w:r>
        <w:t xml:space="preserve"> </w:t>
      </w:r>
      <w:r>
        <w:t xml:space="preserve">a</w:t>
      </w:r>
      <w:r>
        <w:t xml:space="preserve"> </w:t>
      </w:r>
      <w:r>
        <w:t xml:space="preserve">host</w:t>
      </w:r>
      <w:r>
        <w:t xml:space="preserve"> </w:t>
      </w:r>
      <w:r>
        <w:t xml:space="preserve">of</w:t>
      </w:r>
      <w:r>
        <w:t xml:space="preserve"> </w:t>
      </w:r>
      <w:r>
        <w:t xml:space="preserve">other</w:t>
      </w:r>
      <w:r>
        <w:t xml:space="preserve"> </w:t>
      </w:r>
      <w:r>
        <w:t xml:space="preserve">local</w:t>
      </w:r>
      <w:r>
        <w:t xml:space="preserve"> </w:t>
      </w:r>
      <w:r>
        <w:t xml:space="preserve">measures</w:t>
      </w:r>
      <w:r>
        <w:t xml:space="preserve"> </w:t>
      </w:r>
      <w:r>
        <w:t xml:space="preserve">such</w:t>
      </w:r>
      <w:r>
        <w:t xml:space="preserve"> </w:t>
      </w:r>
      <w:r>
        <w:t xml:space="preserve">as</w:t>
      </w:r>
      <w:r>
        <w:t xml:space="preserve"> </w:t>
      </w:r>
      <w:r>
        <w:t xml:space="preserve">housing</w:t>
      </w:r>
      <w:r>
        <w:t xml:space="preserve"> </w:t>
      </w:r>
      <w:r>
        <w:t xml:space="preserve">prices,</w:t>
      </w:r>
      <w:r>
        <w:t xml:space="preserve"> </w:t>
      </w:r>
      <w:r>
        <w:t xml:space="preserve">average</w:t>
      </w:r>
      <w:r>
        <w:t xml:space="preserve"> </w:t>
      </w:r>
      <w:r>
        <w:t xml:space="preserve">income,</w:t>
      </w:r>
      <w:r>
        <w:t xml:space="preserve"> </w:t>
      </w:r>
      <w:r>
        <w:t xml:space="preserve">queer</w:t>
      </w:r>
      <w:r>
        <w:t xml:space="preserve"> </w:t>
      </w:r>
      <w:r>
        <w:t xml:space="preserve">density,</w:t>
      </w:r>
      <w:r>
        <w:t xml:space="preserve"> </w:t>
      </w:r>
      <w:r>
        <w:t xml:space="preserve">and</w:t>
      </w:r>
      <w:r>
        <w:t xml:space="preserve"> </w:t>
      </w:r>
      <w:r>
        <w:t xml:space="preserve">prevalence</w:t>
      </w:r>
      <w:r>
        <w:t xml:space="preserve"> </w:t>
      </w:r>
      <w:r>
        <w:t xml:space="preserve">of</w:t>
      </w:r>
      <w:r>
        <w:t xml:space="preserve"> </w:t>
      </w:r>
      <w:r>
        <w:t xml:space="preserve">immigrants</w:t>
      </w:r>
      <w:r>
        <w:t xml:space="preserve"> </w:t>
      </w:r>
      <w:r>
        <w:t xml:space="preserve">from</w:t>
      </w:r>
      <w:r>
        <w:t xml:space="preserve"> </w:t>
      </w:r>
      <w:r>
        <w:t xml:space="preserve">the</w:t>
      </w:r>
      <w:r>
        <w:t xml:space="preserve"> </w:t>
      </w:r>
      <w:r>
        <w:t xml:space="preserve">same</w:t>
      </w:r>
      <w:r>
        <w:t xml:space="preserve"> </w:t>
      </w:r>
      <w:r>
        <w:t xml:space="preserve">national</w:t>
      </w:r>
      <w:r>
        <w:t xml:space="preserve"> </w:t>
      </w:r>
      <w:r>
        <w:t xml:space="preserve">origins.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begin recognizing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w:t>
      </w:r>
      <w:hyperlink w:anchor="ref-edwards_2013">
        <w:r>
          <w:rPr>
            <w:rStyle w:val="Hyperlink"/>
          </w:rPr>
          <w:t xml:space="preserve">Edwards 2013</w:t>
        </w:r>
      </w:hyperlink>
      <w:r>
        <w:t xml:space="preserve">)</w:t>
      </w:r>
      <w:r>
        <w:t xml:space="preserve">. In the years since, the U.S. population of lesbian, gay, and bisexual (LGB) immigrants has grown rapidly. As</w:t>
      </w:r>
      <w:r>
        <w:t xml:space="preserve"> </w:t>
      </w:r>
      <w:r>
        <w:t xml:space="preserve">Hoffmann and Velasco (</w:t>
      </w:r>
      <w:hyperlink w:anchor="ref-hoffmann_2024_policy">
        <w:r>
          <w:rPr>
            <w:rStyle w:val="Hyperlink"/>
          </w:rPr>
          <w:t xml:space="preserve">2024</w:t>
        </w:r>
      </w:hyperlink>
      <w:r>
        <w:t xml:space="preserve">)</w:t>
      </w:r>
      <w:r>
        <w:t xml:space="preserve"> </w:t>
      </w:r>
      <w:r>
        <w:t xml:space="preserve">show, numbers of different-sex couples containing immigrants increased by 22 percent from 2008 to 2019 (from 7.8 million to 9.5 million), while those of corresponding same-sex couples grew by 140 percent in the same period (from 44 thousand to 107 thousand). Furthermore,</w:t>
      </w:r>
      <w:r>
        <w:t xml:space="preserve"> </w:t>
      </w:r>
      <w:r>
        <w:t xml:space="preserve">Hoffmann and Velasco (</w:t>
      </w:r>
      <w:hyperlink w:anchor="ref-hoffmann_2023_sexuality">
        <w:r>
          <w:rPr>
            <w:rStyle w:val="Hyperlink"/>
          </w:rPr>
          <w:t xml:space="preserve">2023</w:t>
        </w:r>
      </w:hyperlink>
      <w:r>
        <w:t xml:space="preserve">)</w:t>
      </w:r>
      <w:r>
        <w:t xml:space="preserve"> </w:t>
      </w:r>
      <w:r>
        <w:t xml:space="preserve">show that, compared to immigrants in different-sex couples, those in same-sex couples come from richer, more democratic, and more LGB-friendly countries that are less represented by immigrants in the U.S. They also tend to be more highly educated, work in more prestigious occupations, and have higher incomes. Hence, despite previous queer migration scholarship largely focusing on asylum seekers and others escaping repressive contexts, these migrants appear to be among the most well-off immigrants in the U.S.</w:t>
      </w:r>
    </w:p>
    <w:p>
      <w:pPr>
        <w:pStyle w:val="BodyText"/>
      </w:pPr>
      <w:r>
        <w:t xml:space="preserve">Despite this work, little is known on</w:t>
      </w:r>
      <w:r>
        <w:t xml:space="preserve"> </w:t>
      </w:r>
      <w:r>
        <w:rPr>
          <w:iCs/>
          <w:i/>
        </w:rPr>
        <w:t xml:space="preserve">where</w:t>
      </w:r>
      <w:r>
        <w:t xml:space="preserve"> </w:t>
      </w:r>
      <w:r>
        <w:t xml:space="preserve">LGB migrants tend to settle after they arrive in the U.S. In the wake of the DOMA decision, where do these immigrants choose to settle and enjoy their new rights? Do they gravitate toward queer-friendly cities and states, or are they more concerned with job opportunities or cost of living? How have these patterns changed over time, especially in response to local policy changes relevant to queer people and immigrants? Using American Community Survey data from 2008-2022, this paper implements descriptive analyses and regression analyses to study how settlement patterns of immigrants in same-sex couples in the U.S. respond to local and national policy changes as well as other local factors.</w:t>
      </w:r>
    </w:p>
    <w:bookmarkEnd w:id="20"/>
    <w:bookmarkStart w:id="21" w:name="background"/>
    <w:p>
      <w:pPr>
        <w:pStyle w:val="Heading1"/>
      </w:pPr>
      <w:r>
        <w:t xml:space="preserve">Background</w:t>
      </w:r>
    </w:p>
    <w:bookmarkEnd w:id="21"/>
    <w:bookmarkStart w:id="26" w:name="data-and-methods"/>
    <w:p>
      <w:pPr>
        <w:pStyle w:val="Heading1"/>
      </w:pPr>
      <w:r>
        <w:t xml:space="preserve">Data and Methods</w:t>
      </w:r>
    </w:p>
    <w:p>
      <w:pPr>
        <w:pStyle w:val="FirstParagraph"/>
      </w:pPr>
      <w:r>
        <w:t xml:space="preserve">Our main source of data is the American Community Survey for 2008 to 2022 (except for 2020, when data quality was not good)</w:t>
      </w:r>
      <w:r>
        <w:t xml:space="preserve"> </w:t>
      </w:r>
      <w:r>
        <w:t xml:space="preserve">(</w:t>
      </w:r>
      <w:hyperlink w:anchor="ref-ruggles_2021">
        <w:r>
          <w:rPr>
            <w:rStyle w:val="Hyperlink"/>
          </w:rPr>
          <w:t xml:space="preserve">Ruggles et al. 2021</w:t>
        </w:r>
      </w:hyperlink>
      <w:r>
        <w:t xml:space="preserve">)</w:t>
      </w:r>
      <w:r>
        <w:t xml:space="preserve">. Each year, the ACS surveys a 1-percent representative sample of U.S. households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age 18 to 64, and immigrants in the sample migrated at the age of 18 or older.</w:t>
      </w:r>
    </w:p>
    <w:p>
      <w:pPr>
        <w:pStyle w:val="BodyText"/>
      </w:pPr>
      <w:r>
        <w:t xml:space="preserve">We consider the spatial distribution of three groups: immigrants in same-sex couples, immigrants in different-sex couples, and individuals in same-sex couples where neither individual is an immigrant. The 14 years of survey data contain XX cases.</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although we recognize that some individuals in same-sex relationships may not identify as lesbian, gay, or bisexual. We also recognize that we are not able to identify bisexual (or pansexual, multisexual, etc.) individuals cohabiting with different-sex partners. Furthermore, measuring the prevalence of same-sex couples in the U.S. is difficult</w:t>
      </w:r>
      <w:r>
        <w:t xml:space="preserve"> </w:t>
      </w:r>
      <w:r>
        <w:t xml:space="preserve">(</w:t>
      </w:r>
      <w:hyperlink w:anchor="ref-michaels_2013">
        <w:r>
          <w:rPr>
            <w:rStyle w:val="Hyperlink"/>
          </w:rPr>
          <w:t xml:space="preserve">Michaels 2013</w:t>
        </w:r>
      </w:hyperlink>
      <w:r>
        <w:t xml:space="preserve">)</w:t>
      </w:r>
      <w:r>
        <w:t xml:space="preserve">. As in most nationally representative demographic work on same-sex couples</w:t>
      </w:r>
      <w:r>
        <w:t xml:space="preserve"> </w:t>
      </w:r>
      <w:r>
        <w:t xml:space="preserve">(</w:t>
      </w:r>
      <w:hyperlink w:anchor="ref-baumle_2013">
        <w:r>
          <w:rPr>
            <w:rStyle w:val="Hyperlink"/>
          </w:rPr>
          <w:t xml:space="preserve">Baumle 2013</w:t>
        </w:r>
      </w:hyperlink>
      <w:r>
        <w:t xml:space="preserve">;</w:t>
      </w:r>
      <w:r>
        <w:t xml:space="preserve"> </w:t>
      </w:r>
      <w:hyperlink w:anchor="ref-baumle_2019">
        <w:r>
          <w:rPr>
            <w:rStyle w:val="Hyperlink"/>
          </w:rPr>
          <w:t xml:space="preserve">Baumle and Dreon 2019</w:t>
        </w:r>
      </w:hyperlink>
      <w:r>
        <w:t xml:space="preserve">)</w:t>
      </w:r>
      <w:r>
        <w:t xml:space="preserve">, we are able to identify only LGB couples that cohabit; unpartnered LGB individuals and those who do not live with their partner are not included in the analysis</w:t>
      </w:r>
      <w:r>
        <w:t xml:space="preserve"> </w:t>
      </w:r>
      <w:r>
        <w:t xml:space="preserve">(</w:t>
      </w:r>
      <w:hyperlink w:anchor="ref-baumle_2009">
        <w:r>
          <w:rPr>
            <w:rStyle w:val="Hyperlink"/>
          </w:rPr>
          <w:t xml:space="preserve">Baumle, Compton, and Poston 2009, 6</w:t>
        </w:r>
      </w:hyperlink>
      <w:r>
        <w:t xml:space="preserve">)</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w:t>
      </w:r>
      <w:hyperlink w:anchor="ref-gates_2009">
        <w:r>
          <w:rPr>
            <w:rStyle w:val="Hyperlink"/>
          </w:rPr>
          <w:t xml:space="preserve">Gates and Steinberger 2009</w:t>
        </w:r>
      </w:hyperlink>
      <w:r>
        <w:t xml:space="preserve">;</w:t>
      </w:r>
      <w:r>
        <w:t xml:space="preserve"> </w:t>
      </w:r>
      <w:hyperlink w:anchor="ref-goodnature_2021">
        <w:r>
          <w:rPr>
            <w:rStyle w:val="Hyperlink"/>
          </w:rPr>
          <w:t xml:space="preserve">Goodnature and Neto 2021</w:t>
        </w:r>
      </w:hyperlink>
      <w:r>
        <w:t xml:space="preserve">)</w:t>
      </w:r>
      <w:r>
        <w:t xml:space="preserve">. Beginning in 2008, the Census Bureau made changes to ACS gender and partnership questions in order to prevent such errors</w:t>
      </w:r>
      <w:r>
        <w:t xml:space="preserve"> </w:t>
      </w:r>
      <w:r>
        <w:t xml:space="preserve">(</w:t>
      </w:r>
      <w:hyperlink w:anchor="ref-u.s.censusbureau_2013">
        <w:r>
          <w:rPr>
            <w:rStyle w:val="Hyperlink"/>
          </w:rPr>
          <w:t xml:space="preserve">U.S. Census Bureau 2013</w:t>
        </w:r>
      </w:hyperlink>
      <w:r>
        <w:t xml:space="preserve">)</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and Steinberger (</w:t>
      </w:r>
      <w:hyperlink w:anchor="ref-gates_2009">
        <w:r>
          <w:rPr>
            <w:rStyle w:val="Hyperlink"/>
          </w:rPr>
          <w:t xml:space="preserve">2009</w:t>
        </w:r>
      </w:hyperlink>
      <w:r>
        <w:t xml:space="preserve">)</w:t>
      </w:r>
      <w:r>
        <w:t xml:space="preserve">, we remove all respondents that had either their relationship or sex variable allocated by the Census Bureau, which results in dropping XX immigrants in same-sex couples and XX in different-sex couples, or XX percent of the sample. This is the strategy used by most studies of same-sex couples in the ACS</w:t>
      </w:r>
      <w:r>
        <w:t xml:space="preserve"> </w:t>
      </w:r>
      <w:r>
        <w:t xml:space="preserve">(e.g.</w:t>
      </w:r>
      <w:r>
        <w:t xml:space="preserve"> </w:t>
      </w:r>
      <w:hyperlink w:anchor="ref-boertien_2019">
        <w:r>
          <w:rPr>
            <w:rStyle w:val="Hyperlink"/>
          </w:rPr>
          <w:t xml:space="preserve">Boertien and Vignoli 2019</w:t>
        </w:r>
      </w:hyperlink>
      <w:r>
        <w:t xml:space="preserve">;</w:t>
      </w:r>
      <w:r>
        <w:t xml:space="preserve"> </w:t>
      </w:r>
      <w:hyperlink w:anchor="ref-gates_2013">
        <w:r>
          <w:rPr>
            <w:rStyle w:val="Hyperlink"/>
          </w:rPr>
          <w:t xml:space="preserve">Gates 2013</w:t>
        </w:r>
      </w:hyperlink>
      <w:r>
        <w:t xml:space="preserve">;</w:t>
      </w:r>
      <w:r>
        <w:t xml:space="preserve"> </w:t>
      </w:r>
      <w:hyperlink w:anchor="ref-goldberg_2021">
        <w:r>
          <w:rPr>
            <w:rStyle w:val="Hyperlink"/>
          </w:rPr>
          <w:t xml:space="preserve">Goldberg and Conron 2021</w:t>
        </w:r>
      </w:hyperlink>
      <w:r>
        <w:t xml:space="preserve">;</w:t>
      </w:r>
      <w:r>
        <w:t xml:space="preserve"> </w:t>
      </w:r>
      <w:hyperlink w:anchor="ref-christafore_2019">
        <w:r>
          <w:rPr>
            <w:rStyle w:val="Hyperlink"/>
          </w:rPr>
          <w:t xml:space="preserve">Christafore and Leguizamon 2019</w:t>
        </w:r>
      </w:hyperlink>
      <w:r>
        <w:t xml:space="preserve">;</w:t>
      </w:r>
      <w:r>
        <w:t xml:space="preserve"> </w:t>
      </w:r>
      <w:hyperlink w:anchor="ref-martell_2020">
        <w:r>
          <w:rPr>
            <w:rStyle w:val="Hyperlink"/>
          </w:rPr>
          <w:t xml:space="preserve">Martell and Nash 2020</w:t>
        </w:r>
      </w:hyperlink>
      <w:r>
        <w:t xml:space="preserve">)</w:t>
      </w:r>
      <w:r>
        <w:t xml:space="preserve">. In Section C of the Online Appendix we include robustness checks to test the sensitivity of our results to hypothetically high rates of misreporting.</w:t>
      </w:r>
    </w:p>
    <w:bookmarkStart w:id="22" w:name="analytic-strategy"/>
    <w:p>
      <w:pPr>
        <w:pStyle w:val="Heading2"/>
      </w:pPr>
      <w:r>
        <w:t xml:space="preserve">Analytic Strategy</w:t>
      </w:r>
    </w:p>
    <w:p>
      <w:pPr>
        <w:pStyle w:val="FirstParagraph"/>
      </w:pPr>
      <w:r>
        <w:t xml:space="preserve">Many of our analyses entail descriptive statistics of ACS data. For these and for the reshaping described below, we apply survey weights from the ACS.</w:t>
      </w:r>
    </w:p>
    <w:p>
      <w:pPr>
        <w:pStyle w:val="BodyText"/>
      </w:pPr>
      <w:r>
        <w:t xml:space="preserve">One of our goals is to isolate the effect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percentage of individual cohabiting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p>
    <w:bookmarkEnd w:id="22"/>
    <w:bookmarkStart w:id="25" w:name="variables"/>
    <w:p>
      <w:pPr>
        <w:pStyle w:val="Heading2"/>
      </w:pPr>
      <w:r>
        <w:t xml:space="preserve">Variables</w:t>
      </w:r>
    </w:p>
    <w:p>
      <w:pPr>
        <w:pStyle w:val="FirstParagraph"/>
      </w:pPr>
      <w:r>
        <w:t xml:space="preserve">Most of our variables come from the ACS and are calculated at the level of the Public Use Microdata Area (PUMA), a unit of analysis that includes at least 100,000.</w:t>
      </w:r>
    </w:p>
    <w:p>
      <w:pPr>
        <w:pStyle w:val="BodyText"/>
      </w:pPr>
      <w:r>
        <w:t xml:space="preserve">We also use data from two other sources. First, to examine LGB policies at state of destination, we use original datasets. To create the U.S. state policy index, we compile data from the Movement Advancement Project</w:t>
      </w:r>
      <w:r>
        <w:rPr>
          <w:rStyle w:val="FootnoteReference"/>
        </w:rPr>
        <w:footnoteReference w:id="23"/>
      </w:r>
      <w:r>
        <w:t xml:space="preserve">,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XX to XX, and the mean state policy score for immigrants in our sample is XX.</w:t>
      </w:r>
    </w:p>
    <w:p>
      <w:pPr>
        <w:pStyle w:val="BodyText"/>
      </w:pPr>
      <w:r>
        <w:t xml:space="preserve">Our second outside data source is a measure of the prevalence of LGBT nonprofits in a given PUMA. These come from complete IRS data on nonprofits.</w:t>
      </w:r>
    </w:p>
    <w:bookmarkEnd w:id="25"/>
    <w:bookmarkEnd w:id="26"/>
    <w:bookmarkStart w:id="29" w:name="results"/>
    <w:p>
      <w:pPr>
        <w:pStyle w:val="Heading1"/>
      </w:pPr>
      <w:r>
        <w:t xml:space="preserve">Results</w:t>
      </w:r>
    </w:p>
    <w:bookmarkStart w:id="27" w:name="descriptive-results"/>
    <w:p>
      <w:pPr>
        <w:pStyle w:val="Heading2"/>
      </w:pPr>
      <w:r>
        <w:t xml:space="preserve">Descriptive Results</w:t>
      </w:r>
    </w:p>
    <w:p>
      <w:pPr>
        <w:pStyle w:val="FirstParagraph"/>
      </w:pPr>
      <w:r>
        <w:t xml:space="preserve">To show broadly how the geography of immigrants in same-sex couples has changed over the past 15 years, Figure</w:t>
      </w:r>
      <w:r>
        <w:t xml:space="preserve"> </w:t>
      </w:r>
      <w:r>
        <w:t xml:space="preserve">1</w:t>
      </w:r>
      <w:r>
        <w:t xml:space="preserve"> </w:t>
      </w:r>
      <w:r>
        <w:t xml:space="preserve">presents the percentage coupled immigrants in eage state who are in same-sex couples and how these figures have changed over time. The figure shows maps for three time periods: 2008-2012, 2013-2017, and 2018-2022. Most states had greater proportions of immigrants in same-sex couples in 2022 than in 2008. In addition, the pattern of growth is meaningful. Shortly after the end of the Defense of Marriage Act in 2013, their growth was concentrated in the Northeast, where states were relatively early adopters of same-sex marriage, including Massachusetts (2004), Connecticut (2008), Vermont (2009), New Hampshire (2010), New York (2011), Maine (2012), and Maryland (2013). However, in the next period (2018-2022), more of the map shows higher percentages of immigrants in same-sex couples, including more relatively conservative states.</w:t>
      </w:r>
    </w:p>
    <w:p>
      <w:pPr>
        <w:pStyle w:val="BodyText"/>
      </w:pPr>
      <w:r>
        <w:t xml:space="preserve">Table</w:t>
      </w:r>
      <w:r>
        <w:t xml:space="preserve"> </w:t>
      </w:r>
      <w:r>
        <w:t xml:space="preserve">1</w:t>
      </w:r>
      <w:r>
        <w:t xml:space="preserve"> </w:t>
      </w:r>
      <w:r>
        <w:t xml:space="preserve">prevents descriptive statistics for PUMA-level characteristics, separated by the three groups of interest: immigrants in different-sex couples, immigrants in same-sex couples, and non-immigrants partnered with same-sex non-immigrants. In the table, all variables are averaged over the full range of survey years. Figures</w:t>
      </w:r>
      <w:r>
        <w:t xml:space="preserve"> </w:t>
      </w:r>
      <w:r>
        <w:t xml:space="preserve">2</w:t>
      </w:r>
      <w:r>
        <w:t xml:space="preserve"> </w:t>
      </w:r>
      <w:r>
        <w:t xml:space="preserve">and</w:t>
      </w:r>
      <w:r>
        <w:t xml:space="preserve"> </w:t>
      </w:r>
      <w:r>
        <w:t xml:space="preserve">3</w:t>
      </w:r>
      <w:r>
        <w:t xml:space="preserve"> </w:t>
      </w:r>
      <w:r>
        <w:t xml:space="preserve">present the same statistics over time. Immigrants in same- and different-sex couples are similar on a number of attributes. They live in areas with similar proportions of immigrants and Hispanic people, they live in areas with higher home values and rent, and they live in denser areas. They also bear some similarities to non-immigrants in same-sex couples, with similar values of</w:t>
      </w:r>
    </w:p>
    <w:p>
      <w:pPr>
        <w:pStyle w:val="BodyText"/>
      </w:pPr>
      <w:r>
        <w:t xml:space="preserve">However, immigrants in same-sex couples live in areas with somewhat more advantage than the other two groups. They live in areas with higher incomes and higher occupational prestige. In addition, the home and rent prices of their areas are somewhat higher than those of immigrants more broadly. They also live in denser areas.</w:t>
      </w:r>
    </w:p>
    <w:p>
      <w:pPr>
        <w:pStyle w:val="BodyText"/>
      </w:pPr>
      <w:r>
        <w:t xml:space="preserve">Clear differences also arise around the number of nonprofits in their areas. On average, immigrants in same-sex couples live in PUMAs with 1.2 LGBT nonprofits, while LGB non-immigrants live in PUMAs with 0.76 and immigrants in different-sex couples with 0.30. They also live in areas with more immigrant nonprofits, with an average of 1.0. Surprisingly, the number of immigrant nonprofits for the average immigrant in a different-sex couple and average non-immigrant in a same sex couple are quite similar, at about 0.8.</w:t>
      </w:r>
    </w:p>
    <w:p>
      <w:pPr>
        <w:pStyle w:val="BodyText"/>
      </w:pPr>
      <w:r>
        <w:t xml:space="preserve">Figures</w:t>
      </w:r>
      <w:r>
        <w:t xml:space="preserve"> </w:t>
      </w:r>
      <w:r>
        <w:t xml:space="preserve">2</w:t>
      </w:r>
      <w:r>
        <w:t xml:space="preserve"> </w:t>
      </w:r>
      <w:r>
        <w:t xml:space="preserve">and</w:t>
      </w:r>
      <w:r>
        <w:t xml:space="preserve"> </w:t>
      </w:r>
      <w:r>
        <w:t xml:space="preserve">3</w:t>
      </w:r>
      <w:r>
        <w:t xml:space="preserve"> </w:t>
      </w:r>
      <w:r>
        <w:t xml:space="preserve">show how these differences are fairly stable over time. One notable change is the average percent of Black residents in the typical area for each group: Around 2010, immigrants in same-sex couples were 1 to 2 percentage points more likely to live in areas with Black respondents than the other groups, but in recent years the numbers are very similar.</w:t>
      </w:r>
    </w:p>
    <w:bookmarkEnd w:id="27"/>
    <w:bookmarkStart w:id="28" w:name="models"/>
    <w:p>
      <w:pPr>
        <w:pStyle w:val="Heading2"/>
      </w:pPr>
      <w:r>
        <w:t xml:space="preserve">Models</w:t>
      </w:r>
    </w:p>
    <w:p>
      <w:pPr>
        <w:pStyle w:val="FirstParagraph"/>
      </w:pPr>
      <w:r>
        <w:t xml:space="preserve">Table</w:t>
      </w:r>
      <w:r>
        <w:t xml:space="preserve"> </w:t>
      </w:r>
      <w:r>
        <w:t xml:space="preserve">2</w:t>
      </w:r>
      <w:r>
        <w:t xml:space="preserve"> </w:t>
      </w:r>
      <w:r>
        <w:t xml:space="preserve">presents OLS regressions for the percentage of immigrants in same-sex couples, out of all immigrants in couples, at the PUMA level. Model 1 does not include fixed effects, Model 2 includes state fixed effects and errors clustered at the state level, and Model 3 includes both state and year fixed effects and clusters errors at the state and year levels. Model 3 shows that a number of factors remain significant even in models with these fixed effects. Areas are more likely to have higher proportions of immigrants in same-sex couples if fewer people own their own home, if the percentage of immigrants is lower, if more people are over the poverty line, if homes are worth somewhat less, if the density is lower, and if the number of LGBT nonprofits is higher.</w:t>
      </w:r>
    </w:p>
    <w:p>
      <w:pPr>
        <w:pStyle w:val="BodyText"/>
      </w:pPr>
      <w:r>
        <w:t xml:space="preserve">Table</w:t>
      </w:r>
      <w:r>
        <w:t xml:space="preserve"> </w:t>
      </w:r>
      <w:r>
        <w:t xml:space="preserve">3</w:t>
      </w:r>
      <w:r>
        <w:t xml:space="preserve"> </w:t>
      </w:r>
      <w:r>
        <w:t xml:space="preserve">presents corresponding regressions for the proportion of all people in same-sex couples who are immigrants. Again, a number of coefficients are significant in Model 3, which includes state and year fixed effects. LGB immigrants tend to live in areas with lower income, higher percentages of immigrants, lower unemployment, lower rent, and higher density than LGB non-immigrants.</w:t>
      </w:r>
    </w:p>
    <w:bookmarkEnd w:id="28"/>
    <w:bookmarkEnd w:id="29"/>
    <w:bookmarkStart w:id="30" w:name="discussion-and-conclusion"/>
    <w:p>
      <w:pPr>
        <w:pStyle w:val="Heading1"/>
      </w:pPr>
      <w:r>
        <w:t xml:space="preserve">Discussion and Conclusion</w:t>
      </w:r>
    </w:p>
    <w:p>
      <w:r>
        <w:br w:type="page"/>
      </w:r>
    </w:p>
    <w:bookmarkEnd w:id="30"/>
    <w:bookmarkStart w:id="54" w:name="references"/>
    <w:p>
      <w:pPr>
        <w:pStyle w:val="Heading1"/>
      </w:pPr>
      <w:r>
        <w:t xml:space="preserve">References</w:t>
      </w:r>
    </w:p>
    <w:bookmarkStart w:id="53" w:name="refs"/>
    <w:bookmarkStart w:id="32" w:name="ref-baumle_2013"/>
    <w:p>
      <w:pPr>
        <w:pStyle w:val="Bibliography"/>
      </w:pPr>
      <w:r>
        <w:t xml:space="preserve">Baumle, Amanda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Vol. 5. International</w:t>
      </w:r>
      <w:r>
        <w:t xml:space="preserve"> </w:t>
      </w:r>
      <w:r>
        <w:t xml:space="preserve">Handbooks</w:t>
      </w:r>
      <w:r>
        <w:t xml:space="preserve"> </w:t>
      </w:r>
      <w:r>
        <w:t xml:space="preserve">of</w:t>
      </w:r>
      <w:r>
        <w:t xml:space="preserve"> </w:t>
      </w:r>
      <w:r>
        <w:t xml:space="preserve">Population</w:t>
      </w:r>
      <w:r>
        <w:t xml:space="preserve">. Dordrecht: Springer Netherlands.</w:t>
      </w:r>
      <w:r>
        <w:t xml:space="preserve"> </w:t>
      </w:r>
      <w:hyperlink r:id="rId31">
        <w:r>
          <w:rPr>
            <w:rStyle w:val="Hyperlink"/>
          </w:rPr>
          <w:t xml:space="preserve">https://doi.org/10.1007/978-94-007-5512-3</w:t>
        </w:r>
      </w:hyperlink>
      <w:r>
        <w:t xml:space="preserve">.</w:t>
      </w:r>
    </w:p>
    <w:bookmarkEnd w:id="32"/>
    <w:bookmarkStart w:id="33" w:name="ref-baumle_2009"/>
    <w:p>
      <w:pPr>
        <w:pStyle w:val="Bibliography"/>
      </w:pPr>
      <w:r>
        <w:t xml:space="preserve">Baumle, Amanda K., D’Lane Compton, and Dudley L. Poston.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 SUNY Press.</w:t>
      </w:r>
    </w:p>
    <w:bookmarkEnd w:id="33"/>
    <w:bookmarkStart w:id="35" w:name="ref-baumle_2019"/>
    <w:p>
      <w:pPr>
        <w:pStyle w:val="Bibliography"/>
      </w:pPr>
      <w:r>
        <w:t xml:space="preserve">Baumle, Amanda K., and Ben Dreon. 2019.</w:t>
      </w:r>
      <w:r>
        <w:t xml:space="preserve"> </w:t>
      </w:r>
      <w:r>
        <w:t xml:space="preserve">“The</w:t>
      </w:r>
      <w:r>
        <w:t xml:space="preserve"> </w:t>
      </w:r>
      <w:r>
        <w:t xml:space="preserve">Demography</w:t>
      </w:r>
      <w:r>
        <w:t xml:space="preserve"> </w:t>
      </w:r>
      <w:r>
        <w:t xml:space="preserve">of</w:t>
      </w:r>
      <w:r>
        <w:t xml:space="preserve"> </w:t>
      </w:r>
      <w:r>
        <w:t xml:space="preserve">Sexuality</w:t>
      </w:r>
      <w:r>
        <w:t xml:space="preserve">.”</w:t>
      </w:r>
      <w:r>
        <w:t xml:space="preserve"> </w:t>
      </w:r>
      <w:r>
        <w:t xml:space="preserve">In</w:t>
      </w:r>
      <w:r>
        <w:t xml:space="preserve"> </w:t>
      </w:r>
      <w:r>
        <w:rPr>
          <w:iCs/>
          <w:i/>
        </w:rPr>
        <w:t xml:space="preserve">Handbook of</w:t>
      </w:r>
      <w:r>
        <w:rPr>
          <w:iCs/>
          <w:i/>
        </w:rPr>
        <w:t xml:space="preserve"> </w:t>
      </w:r>
      <w:r>
        <w:rPr>
          <w:iCs/>
          <w:i/>
        </w:rPr>
        <w:t xml:space="preserve">Population</w:t>
      </w:r>
      <w:r>
        <w:t xml:space="preserve">, edited by Dudley L. Poston Jr., 279–88. Handbooks of</w:t>
      </w:r>
      <w:r>
        <w:t xml:space="preserve"> </w:t>
      </w:r>
      <w:r>
        <w:t xml:space="preserve">Sociology</w:t>
      </w:r>
      <w:r>
        <w:t xml:space="preserve"> </w:t>
      </w:r>
      <w:r>
        <w:t xml:space="preserve">and</w:t>
      </w:r>
      <w:r>
        <w:t xml:space="preserve"> </w:t>
      </w:r>
      <w:r>
        <w:t xml:space="preserve">Social Research</w:t>
      </w:r>
      <w:r>
        <w:t xml:space="preserve">. Cham: Springer International Publishing.</w:t>
      </w:r>
      <w:r>
        <w:t xml:space="preserve"> </w:t>
      </w:r>
      <w:hyperlink r:id="rId34">
        <w:r>
          <w:rPr>
            <w:rStyle w:val="Hyperlink"/>
          </w:rPr>
          <w:t xml:space="preserve">https://doi.org/10.1007/978-3-030-10910-3_11</w:t>
        </w:r>
      </w:hyperlink>
      <w:r>
        <w:t xml:space="preserve">.</w:t>
      </w:r>
    </w:p>
    <w:bookmarkEnd w:id="35"/>
    <w:bookmarkStart w:id="36" w:name="ref-boertien_2019"/>
    <w:p>
      <w:pPr>
        <w:pStyle w:val="Bibliography"/>
      </w:pPr>
      <w:r>
        <w:t xml:space="preserve">Boertien, Diederik, and Daniele Vignoli. 2019.</w:t>
      </w:r>
      <w:r>
        <w:t xml:space="preserve"> </w:t>
      </w:r>
      <w:r>
        <w:t xml:space="preserve">“Legalizing Same-Sex Marriage Matters for the Subjective Well-Being of Individuals in Same-Sex Unions.”</w:t>
      </w:r>
      <w:r>
        <w:t xml:space="preserve"> </w:t>
      </w:r>
      <w:r>
        <w:rPr>
          <w:iCs/>
          <w:i/>
        </w:rPr>
        <w:t xml:space="preserve">Demography</w:t>
      </w:r>
      <w:r>
        <w:t xml:space="preserve"> </w:t>
      </w:r>
      <w:r>
        <w:t xml:space="preserve">56 (6): 2109–21.</w:t>
      </w:r>
    </w:p>
    <w:bookmarkEnd w:id="36"/>
    <w:bookmarkStart w:id="38" w:name="ref-christafore_2019"/>
    <w:p>
      <w:pPr>
        <w:pStyle w:val="Bibliography"/>
      </w:pPr>
      <w:r>
        <w:t xml:space="preserve">Christafore, David, and Susane Leguizamon. 2019.</w:t>
      </w:r>
      <w:r>
        <w:t xml:space="preserve"> </w:t>
      </w:r>
      <w:r>
        <w:t xml:space="preserve">“Taste-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w:t>
      </w:r>
      <w:r>
        <w:rPr>
          <w:iCs/>
          <w:i/>
        </w:rPr>
        <w:t xml:space="preserve">ü</w:t>
      </w:r>
      <w:r>
        <w:rPr>
          <w:iCs/>
          <w:i/>
        </w:rPr>
        <w:t xml:space="preserve">r Geschichte Der Medizin an Der Universit</w:t>
      </w:r>
      <w:r>
        <w:rPr>
          <w:iCs/>
          <w:i/>
        </w:rPr>
        <w:t xml:space="preserve">ä</w:t>
      </w:r>
      <w:r>
        <w:rPr>
          <w:iCs/>
          <w:i/>
        </w:rPr>
        <w:t xml:space="preserve">t Leipzig</w:t>
      </w:r>
      <w:r>
        <w:t xml:space="preserve"> </w:t>
      </w:r>
      <w:r>
        <w:t xml:space="preserve">72 (3): 426–45.</w:t>
      </w:r>
      <w:r>
        <w:t xml:space="preserve"> </w:t>
      </w:r>
      <w:hyperlink r:id="rId37">
        <w:r>
          <w:rPr>
            <w:rStyle w:val="Hyperlink"/>
          </w:rPr>
          <w:t xml:space="preserve">https://doi.org/10.1111/kykl.12206</w:t>
        </w:r>
      </w:hyperlink>
      <w:r>
        <w:t xml:space="preserve">.</w:t>
      </w:r>
    </w:p>
    <w:bookmarkEnd w:id="38"/>
    <w:bookmarkStart w:id="39" w:name="ref-edwards_2013"/>
    <w:p>
      <w:pPr>
        <w:pStyle w:val="Bibliography"/>
      </w:pPr>
      <w:r>
        <w:t xml:space="preserve">Edwards, Benjamin P. 2013.</w:t>
      </w:r>
      <w:r>
        <w:t xml:space="preserve"> </w:t>
      </w:r>
      <w:r>
        <w:t xml:space="preserve">“Welcoming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 </w:t>
      </w:r>
      <w:r>
        <w:t xml:space="preserve">47 (2): 173–89.</w:t>
      </w:r>
    </w:p>
    <w:bookmarkEnd w:id="39"/>
    <w:bookmarkStart w:id="40" w:name="ref-gates_2013"/>
    <w:p>
      <w:pPr>
        <w:pStyle w:val="Bibliography"/>
      </w:pPr>
      <w:r>
        <w:t xml:space="preserve">Gates, Gary J. 2013.</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40"/>
    <w:bookmarkStart w:id="41" w:name="ref-gates_2009"/>
    <w:p>
      <w:pPr>
        <w:pStyle w:val="Bibliography"/>
      </w:pPr>
      <w:r>
        <w:t xml:space="preserve">Gates, Gary J., and Michael D. Steinberger. 2009.</w:t>
      </w:r>
      <w:r>
        <w:t xml:space="preserve"> </w:t>
      </w:r>
      <w:r>
        <w:t xml:space="preserve">“Same-Sex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t xml:space="preserve">In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41"/>
    <w:bookmarkStart w:id="42" w:name="ref-goldberg_2021"/>
    <w:p>
      <w:pPr>
        <w:pStyle w:val="Bibliography"/>
      </w:pPr>
      <w:r>
        <w:t xml:space="preserve">Goldberg, Shoshana K., and Kerith J. Conron. 2021.</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42"/>
    <w:bookmarkStart w:id="43" w:name="ref-goodnature_2021"/>
    <w:p>
      <w:pPr>
        <w:pStyle w:val="Bibliography"/>
      </w:pPr>
      <w:r>
        <w:t xml:space="preserve">Goodnature, Mia, and Amir B. Ferreira Neto. 2021.</w:t>
      </w:r>
      <w:r>
        <w:t xml:space="preserve"> </w:t>
      </w:r>
      <w:r>
        <w:t xml:space="preserve">“Same-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 </w:t>
      </w:r>
      <w:r>
        <w:t xml:space="preserve">51 (1): 43–66.</w:t>
      </w:r>
    </w:p>
    <w:bookmarkEnd w:id="43"/>
    <w:bookmarkStart w:id="45" w:name="ref-hoffmann_2023_sexuality"/>
    <w:p>
      <w:pPr>
        <w:pStyle w:val="Bibliography"/>
      </w:pPr>
      <w:r>
        <w:t xml:space="preserve">Hoffmann, Nathan I., and Kristopher Velasco. 2023.</w:t>
      </w:r>
      <w:r>
        <w:t xml:space="preserve"> </w:t>
      </w:r>
      <w:r>
        <w:t xml:space="preserve">“Sexuality,</w:t>
      </w:r>
      <w:r>
        <w:t xml:space="preserve"> </w:t>
      </w:r>
      <w:r>
        <w:t xml:space="preserve">Migration</w:t>
      </w:r>
      <w:r>
        <w:t xml:space="preserve">, and</w:t>
      </w:r>
      <w:r>
        <w:t xml:space="preserve"> </w:t>
      </w:r>
      <w:r>
        <w:t xml:space="preserve">LGB Policy</w:t>
      </w:r>
      <w:r>
        <w:t xml:space="preserve">:</w:t>
      </w:r>
      <w:r>
        <w:t xml:space="preserve"> </w:t>
      </w:r>
      <w:r>
        <w:t xml:space="preserve">A Portrait</w:t>
      </w:r>
      <w:r>
        <w:t xml:space="preserve"> </w:t>
      </w:r>
      <w:r>
        <w:t xml:space="preserve">of</w:t>
      </w:r>
      <w:r>
        <w:t xml:space="preserve"> </w:t>
      </w:r>
      <w:r>
        <w:t xml:space="preserve">Immigrants</w:t>
      </w:r>
      <w:r>
        <w:t xml:space="preserve"> </w:t>
      </w:r>
      <w:r>
        <w:t xml:space="preserve">in</w:t>
      </w:r>
      <w:r>
        <w:t xml:space="preserve"> </w:t>
      </w:r>
      <w:r>
        <w:t xml:space="preserve">Same-Sex Couples</w:t>
      </w:r>
      <w:r>
        <w:t xml:space="preserve"> </w:t>
      </w:r>
      <w:r>
        <w:t xml:space="preserve">in the</w:t>
      </w:r>
      <w:r>
        <w:t xml:space="preserve"> </w:t>
      </w:r>
      <w:r>
        <w:t xml:space="preserve">United States</w:t>
      </w:r>
      <w:r>
        <w:t xml:space="preserve">.”</w:t>
      </w:r>
      <w:r>
        <w:t xml:space="preserve"> </w:t>
      </w:r>
      <w:r>
        <w:rPr>
          <w:iCs/>
          <w:i/>
        </w:rPr>
        <w:t xml:space="preserve">International Migration Review</w:t>
      </w:r>
      <w:r>
        <w:t xml:space="preserve">, August, 01979183231187623.</w:t>
      </w:r>
      <w:r>
        <w:t xml:space="preserve"> </w:t>
      </w:r>
      <w:hyperlink r:id="rId44">
        <w:r>
          <w:rPr>
            <w:rStyle w:val="Hyperlink"/>
          </w:rPr>
          <w:t xml:space="preserve">https://doi.org/10.1177/01979183231187623</w:t>
        </w:r>
      </w:hyperlink>
      <w:r>
        <w:t xml:space="preserve">.</w:t>
      </w:r>
    </w:p>
    <w:bookmarkEnd w:id="45"/>
    <w:bookmarkStart w:id="47" w:name="ref-hoffmann_2024_policy"/>
    <w:p>
      <w:pPr>
        <w:pStyle w:val="Bibliography"/>
      </w:pPr>
      <w:r>
        <w:t xml:space="preserve">———. 2024.</w:t>
      </w:r>
      <w:r>
        <w:t xml:space="preserve"> </w:t>
      </w:r>
      <w:r>
        <w:t xml:space="preserve">“Policy</w:t>
      </w:r>
      <w:r>
        <w:t xml:space="preserve"> </w:t>
      </w:r>
      <w:r>
        <w:t xml:space="preserve">Effects</w:t>
      </w:r>
      <w:r>
        <w:t xml:space="preserve"> </w:t>
      </w:r>
      <w:r>
        <w:t xml:space="preserve">on</w:t>
      </w:r>
      <w:r>
        <w:t xml:space="preserve"> </w:t>
      </w:r>
      <w:r>
        <w:t xml:space="preserve">Mixed-Citizenship</w:t>
      </w:r>
      <w:r>
        <w:t xml:space="preserve">,</w:t>
      </w:r>
      <w:r>
        <w:t xml:space="preserve"> </w:t>
      </w:r>
      <w:r>
        <w:t xml:space="preserve">Same-Sex Unions</w:t>
      </w:r>
      <w:r>
        <w:t xml:space="preserve">:</w:t>
      </w:r>
      <w:r>
        <w:t xml:space="preserve"> </w:t>
      </w:r>
      <w:r>
        <w:t xml:space="preserve">A Triple-Difference Analysis</w:t>
      </w:r>
      <w:r>
        <w:t xml:space="preserve">.”</w:t>
      </w:r>
      <w:r>
        <w:t xml:space="preserve"> </w:t>
      </w:r>
      <w:r>
        <w:rPr>
          <w:iCs/>
          <w:i/>
        </w:rPr>
        <w:t xml:space="preserve">Social Forces</w:t>
      </w:r>
      <w:r>
        <w:t xml:space="preserve"> </w:t>
      </w:r>
      <w:r>
        <w:t xml:space="preserve">102 (3): 1134–56.</w:t>
      </w:r>
      <w:r>
        <w:t xml:space="preserve"> </w:t>
      </w:r>
      <w:hyperlink r:id="rId46">
        <w:r>
          <w:rPr>
            <w:rStyle w:val="Hyperlink"/>
          </w:rPr>
          <w:t xml:space="preserve">https://doi.org/10.1093/sf/soad108</w:t>
        </w:r>
      </w:hyperlink>
      <w:r>
        <w:t xml:space="preserve">.</w:t>
      </w:r>
    </w:p>
    <w:bookmarkEnd w:id="47"/>
    <w:bookmarkStart w:id="49" w:name="ref-martell_2020"/>
    <w:p>
      <w:pPr>
        <w:pStyle w:val="Bibliography"/>
      </w:pPr>
      <w:r>
        <w:t xml:space="preserve">Martell, Michael E., and Peyton Nash. 2020.</w:t>
      </w:r>
      <w:r>
        <w:t xml:space="preserve"> </w:t>
      </w:r>
      <w:r>
        <w:t xml:space="preserve">“For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 </w:t>
      </w:r>
      <w:r>
        <w:t xml:space="preserve">41 (3): 260–94.</w:t>
      </w:r>
      <w:r>
        <w:t xml:space="preserve"> </w:t>
      </w:r>
      <w:hyperlink r:id="rId48">
        <w:r>
          <w:rPr>
            <w:rStyle w:val="Hyperlink"/>
          </w:rPr>
          <w:t xml:space="preserve">https://doi.org/10.1007/s12122-020-09305-4</w:t>
        </w:r>
      </w:hyperlink>
      <w:r>
        <w:t xml:space="preserve">.</w:t>
      </w:r>
    </w:p>
    <w:bookmarkEnd w:id="49"/>
    <w:bookmarkStart w:id="50" w:name="ref-michaels_2013"/>
    <w:p>
      <w:pPr>
        <w:pStyle w:val="Bibliography"/>
      </w:pPr>
      <w:r>
        <w:t xml:space="preserve">Michaels, Stuart. 2013.</w:t>
      </w:r>
      <w:r>
        <w:t xml:space="preserve"> </w:t>
      </w:r>
      <w:r>
        <w:t xml:space="preserve">“Sexual Behavior and Practices:</w:t>
      </w:r>
      <w:r>
        <w:t xml:space="preserve"> </w:t>
      </w:r>
      <w:r>
        <w:t xml:space="preserve">Data</w:t>
      </w:r>
      <w:r>
        <w:t xml:space="preserve"> </w:t>
      </w:r>
      <w:r>
        <w:t xml:space="preserve">and Measurement.”</w:t>
      </w:r>
      <w:r>
        <w:t xml:space="preserve"> </w:t>
      </w:r>
      <w:r>
        <w:t xml:space="preserve">In</w:t>
      </w:r>
      <w:r>
        <w:t xml:space="preserve"> </w:t>
      </w:r>
      <w:r>
        <w:rPr>
          <w:iCs/>
          <w:i/>
        </w:rPr>
        <w:t xml:space="preserve">International Handbook on the Demography of Sexuality</w:t>
      </w:r>
      <w:r>
        <w:t xml:space="preserve">, 11–20. Springer.</w:t>
      </w:r>
    </w:p>
    <w:bookmarkEnd w:id="50"/>
    <w:bookmarkStart w:id="51" w:name="ref-ruggles_2021"/>
    <w:p>
      <w:pPr>
        <w:pStyle w:val="Bibliography"/>
      </w:pPr>
      <w:r>
        <w:t xml:space="preserve">Ruggles, Steven, Sarah Flood, Sophia Foster, Ronald Goeken, Jose Pacas, Megan Schouweiler, and Matthew Sobek. 2021.</w:t>
      </w:r>
      <w:r>
        <w:t xml:space="preserve"> </w:t>
      </w:r>
      <w:r>
        <w:t xml:space="preserve">“</w:t>
      </w:r>
      <w:r>
        <w:t xml:space="preserve">IPUMS USA</w:t>
      </w:r>
      <w:r>
        <w:t xml:space="preserve">:</w:t>
      </w:r>
      <w:r>
        <w:t xml:space="preserve"> </w:t>
      </w:r>
      <w:r>
        <w:t xml:space="preserve">Version</w:t>
      </w:r>
      <w:r>
        <w:t xml:space="preserve"> </w:t>
      </w:r>
      <w:r>
        <w:t xml:space="preserve">11.0</w:t>
      </w:r>
      <w:r>
        <w:t xml:space="preserve"> </w:t>
      </w:r>
      <w:r>
        <w:t xml:space="preserve">American Community Survey</w:t>
      </w:r>
      <w:r>
        <w:t xml:space="preserve"> </w:t>
      </w:r>
      <w:r>
        <w:t xml:space="preserve">2008-2019.”</w:t>
      </w:r>
      <w:r>
        <w:t xml:space="preserve"> Minneapolis, MN: IPUMS.</w:t>
      </w:r>
    </w:p>
    <w:bookmarkEnd w:id="51"/>
    <w:bookmarkStart w:id="52" w:name="ref-u.s.censusbureau_2013"/>
    <w:p>
      <w:pPr>
        <w:pStyle w:val="Bibliography"/>
      </w:pPr>
      <w:r>
        <w:t xml:space="preserve">U.S. Census Bureau. 2013.</w:t>
      </w:r>
      <w:r>
        <w:t xml:space="preserve"> </w:t>
      </w:r>
      <w:r>
        <w:t xml:space="preserve">“Frequently</w:t>
      </w:r>
      <w:r>
        <w:t xml:space="preserve"> </w:t>
      </w:r>
      <w:r>
        <w:t xml:space="preserve">Asked Questions About Same-Sex Couple Households</w:t>
      </w:r>
      <w:r>
        <w:t xml:space="preserve">.”</w:t>
      </w:r>
      <w:r>
        <w:t xml:space="preserve"> </w:t>
      </w:r>
      <w:r>
        <w:t xml:space="preserve">U.S. Census Bureau Fertility and Family Statistics Branch</w:t>
      </w:r>
      <w:r>
        <w:t xml:space="preserve">.</w:t>
      </w:r>
    </w:p>
    <w:bookmarkEnd w:id="52"/>
    <w:bookmarkEnd w:id="53"/>
    <w:p>
      <w:r>
        <w:br w:type="page"/>
      </w:r>
    </w:p>
    <w:bookmarkEnd w:id="54"/>
    <w:bookmarkStart w:id="58" w:name="tables"/>
    <w:p>
      <w:pPr>
        <w:pStyle w:val="Heading1"/>
      </w:pPr>
      <w:r>
        <w:t xml:space="preserve">Tables</w:t>
      </w:r>
    </w:p>
    <w:p>
      <w:pPr>
        <w:pStyle w:val="TableCaption"/>
      </w:pPr>
      <w:bookmarkStart w:id="55" w:name="tab:desc"/>
      <w:bookmarkEnd w:id="55"/>
      <w:r>
        <w:t xml:space="preserve">Table 1:</w:t>
      </w:r>
      <w:r>
        <w:t xml:space="preserve"> </w:t>
      </w:r>
      <w:r>
        <w:t xml:space="preserve">Mean values for geographic variables for immigrants in different- or same-sex couples, 2008-2022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4"/>
        <w:gridCol w:w="1902"/>
        <w:gridCol w:w="1670"/>
        <w:gridCol w:w="1964"/>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23.53</w:t>
            </w:r>
          </w:p>
        </w:tc>
      </w:tr>
      <w:tr>
        <w:trPr>
          <w:trHeight w:val="61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12.75</w:t>
            </w:r>
          </w:p>
        </w:tc>
      </w:tr>
      <w:tr>
        <w:trPr>
          <w:trHeight w:val="61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16.62</w:t>
            </w:r>
          </w:p>
        </w:tc>
      </w:tr>
      <w:tr>
        <w:trPr>
          <w:trHeight w:val="61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27.93</w:t>
            </w:r>
          </w:p>
        </w:tc>
      </w:tr>
      <w:tr>
        <w:trPr>
          <w:trHeight w:val="61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62.82</w:t>
            </w:r>
          </w:p>
        </w:tc>
      </w:tr>
      <w:tr>
        <w:trPr>
          <w:trHeight w:val="60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38.48</w:t>
            </w:r>
          </w:p>
        </w:tc>
      </w:tr>
      <w:tr>
        <w:trPr>
          <w:trHeight w:val="61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13.47</w:t>
            </w:r>
          </w:p>
        </w:tc>
      </w:tr>
      <w:tr>
        <w:trPr>
          <w:trHeight w:val="61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100%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12.23</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28.63</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37.29</w:t>
            </w:r>
          </w:p>
        </w:tc>
      </w:tr>
      <w:tr>
        <w:trPr>
          <w:trHeight w:val="61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2.44</w:t>
            </w:r>
          </w:p>
        </w:tc>
      </w:tr>
      <w:tr>
        <w:trPr>
          <w:trHeight w:val="61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4,111.50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3,938.43</w:t>
            </w:r>
          </w:p>
        </w:tc>
      </w:tr>
      <w:tr>
        <w:trPr>
          <w:trHeight w:val="56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363.84</w:t>
            </w:r>
          </w:p>
        </w:tc>
      </w:tr>
      <w:tr>
        <w:trPr>
          <w:trHeight w:val="611"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2,181.30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2,200.92</w:t>
            </w:r>
          </w:p>
        </w:tc>
      </w:tr>
      <w:tr>
        <w:trPr>
          <w:trHeight w:val="611"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8,144.18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11,628.1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6,088.93</w:t>
            </w:r>
          </w:p>
        </w:tc>
      </w:tr>
      <w:tr>
        <w:trPr>
          <w:trHeight w:val="61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0.76</w:t>
            </w:r>
          </w:p>
        </w:tc>
      </w:tr>
      <w:tr>
        <w:trPr>
          <w:trHeight w:val="611"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immigrant nonprofits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0.82</w:t>
            </w:r>
          </w:p>
        </w:tc>
      </w:tr>
    </w:tbl>
    <w:p>
      <w:r>
        <w:br w:type="page"/>
      </w:r>
    </w:p>
    <w:p>
      <w:pPr>
        <w:pStyle w:val="TableCaption"/>
      </w:pPr>
      <w:bookmarkStart w:id="56" w:name="tab:prop-regression"/>
      <w:bookmarkEnd w:id="56"/>
      <w:r>
        <w:t xml:space="preserve">Table 2:</w:t>
      </w:r>
      <w:r>
        <w:t xml:space="preserve"> </w:t>
      </w:r>
      <w:r>
        <w:t xml:space="preserve">Proportion of immigrants in same-sex couples by PUMA, regressed on PUMA-level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-0.005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(0.010)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Log 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-0.231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-0.197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(0.172)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-0.043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-0.044 **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0.037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0.036 *  </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(0.014)   </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-0.026 ***</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(0.005)   </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0.014 ***</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0.021    </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(0.023)   </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(0.019)   </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  </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(0.008)   </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0.185 ***</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(0.047)   </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(0.005)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(0.013)   </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Year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body38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Observations</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332911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332911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332911        </w:t>
            </w:r>
          </w:p>
        </w:tc>
      </w:tr>
      <w:tr>
        <w:trPr>
          <w:trHeight w:val="360" w:hRule="auto"/>
        </w:trPr>
        body39
        <w:tc>
          <w:tcPr>
            <w:gridSpan w:val="4"/>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  † p &lt; 0.1.</w:t>
            </w:r>
          </w:p>
        </w:tc>
      </w:tr>
    </w:tbl>
    <w:p>
      <w:r>
        <w:br w:type="page"/>
      </w:r>
    </w:p>
    <w:p>
      <w:pPr>
        <w:pStyle w:val="TableCaption"/>
      </w:pPr>
      <w:bookmarkStart w:id="57" w:name="tab:gay-prop-regression"/>
      <w:bookmarkEnd w:id="57"/>
      <w:r>
        <w:t xml:space="preserve">Table 3:</w:t>
      </w:r>
      <w:r>
        <w:t xml:space="preserve"> </w:t>
      </w:r>
      <w:r>
        <w:t xml:space="preserve">Proportion of same-sex partnered people who are immigrants by PUMA, regressed on PUMA-level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-0.182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0.029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0.027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(0.098)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0.027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(0.032)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0.031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(0.024)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Log 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-6.466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-8.474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-8.413 *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(0.554)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(3.275)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(3.499)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0.431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0.391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0.389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(0.220)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(0.223)   </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0.238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0.034    </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(0.143)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(0.148)   </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0.556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0.470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0.470 ***</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(0.078)   </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-0.022    </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(0.039)   </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0.647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0.286    </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(0.347)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(0.331)   </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-0.337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-0.330    </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(0.142)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(0.171)   </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  </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(0.054)   </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-0.216    </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(0.153)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(0.147)   </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0.112    </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(0.030)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(0.115)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(0.109)   </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Year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body38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Observations</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295468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295468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295468        </w:t>
            </w:r>
          </w:p>
        </w:tc>
      </w:tr>
      <w:tr>
        <w:trPr>
          <w:trHeight w:val="360" w:hRule="auto"/>
        </w:trPr>
        body39
        <w:tc>
          <w:tcPr>
            <w:gridSpan w:val="4"/>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w:t>
            </w:r>
          </w:p>
        </w:tc>
      </w:tr>
    </w:tbl>
    <w:p>
      <w:r>
        <w:br w:type="page"/>
      </w:r>
    </w:p>
    <w:bookmarkEnd w:id="58"/>
    <w:bookmarkStart w:id="71" w:name="figures"/>
    <w:p>
      <w:pPr>
        <w:pStyle w:val="Heading1"/>
      </w:pPr>
      <w:r>
        <w:t xml:space="preserve">Figures</w:t>
      </w:r>
    </w:p>
    <w:p>
      <w:pPr>
        <w:pStyle w:val="CaptionedFigure"/>
      </w:pPr>
      <w:r>
        <w:drawing>
          <wp:inline>
            <wp:extent cx="5943600" cy="4754880"/>
            <wp:effectExtent b="0" l="0" r="0" t="0"/>
            <wp:docPr descr="Figure 1: Percentage of cohabiting immigrants in same-sex couples in U.S. states, averaging over ACS survey years 2008 to 2022." title="" id="60" name="Picture"/>
            <a:graphic>
              <a:graphicData uri="http://schemas.openxmlformats.org/drawingml/2006/picture">
                <pic:pic>
                  <pic:nvPicPr>
                    <pic:cNvPr descr="ssimm_geo_files/figure-docx/state-map-1.png" id="61" name="Picture"/>
                    <pic:cNvPicPr>
                      <a:picLocks noChangeArrowheads="1" noChangeAspect="1"/>
                    </pic:cNvPicPr>
                  </pic:nvPicPr>
                  <pic:blipFill>
                    <a:blip r:embed="rId5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62" w:name="fig:state-map"/>
      <w:bookmarkEnd w:id="62"/>
      <w:r>
        <w:t xml:space="preserve">Figure 1: Percentage of cohabiting immigrants in same-sex couples in U.S. states, averaging over ACS survey years 2008 to 2022.</w:t>
      </w:r>
    </w:p>
    <w:p>
      <w:r>
        <w:br w:type="page"/>
      </w:r>
    </w:p>
    <w:p>
      <w:pPr>
        <w:pStyle w:val="CaptionedFigure"/>
      </w:pPr>
      <w:r>
        <w:drawing>
          <wp:inline>
            <wp:extent cx="5943600" cy="6537960"/>
            <wp:effectExtent b="0" l="0" r="0" t="0"/>
            <wp:docPr descr="Figure 2: Geographic characteristics (percentages) over time for immigrants in different- and same-sex couples, based on American Community Survey data for 2008-2022" title="" id="64" name="Picture"/>
            <a:graphic>
              <a:graphicData uri="http://schemas.openxmlformats.org/drawingml/2006/picture">
                <pic:pic>
                  <pic:nvPicPr>
                    <pic:cNvPr descr="ssimm_geo_files/figure-docx/desc-time-1-1.png" id="65" name="Picture"/>
                    <pic:cNvPicPr>
                      <a:picLocks noChangeArrowheads="1" noChangeAspect="1"/>
                    </pic:cNvPicPr>
                  </pic:nvPicPr>
                  <pic:blipFill>
                    <a:blip r:embed="rId63"/>
                    <a:stretch>
                      <a:fillRect/>
                    </a:stretch>
                  </pic:blipFill>
                  <pic:spPr bwMode="auto">
                    <a:xfrm>
                      <a:off x="0" y="0"/>
                      <a:ext cx="5943600" cy="6537960"/>
                    </a:xfrm>
                    <a:prstGeom prst="rect">
                      <a:avLst/>
                    </a:prstGeom>
                    <a:noFill/>
                    <a:ln w="9525">
                      <a:noFill/>
                      <a:headEnd/>
                      <a:tailEnd/>
                    </a:ln>
                  </pic:spPr>
                </pic:pic>
              </a:graphicData>
            </a:graphic>
          </wp:inline>
        </w:drawing>
      </w:r>
    </w:p>
    <w:p>
      <w:pPr>
        <w:pStyle w:val="ImageCaption"/>
      </w:pPr>
      <w:bookmarkStart w:id="66" w:name="fig:desc-time-1"/>
      <w:bookmarkEnd w:id="66"/>
      <w:r>
        <w:t xml:space="preserve">Figure 2: Geographic characteristics (percentages) over time for immigrants in different- and same-sex couples, based on American Community Survey data for 2008-2022</w:t>
      </w:r>
    </w:p>
    <w:p>
      <w:r>
        <w:br w:type="page"/>
      </w:r>
    </w:p>
    <w:p>
      <w:pPr>
        <w:pStyle w:val="CaptionedFigure"/>
      </w:pPr>
      <w:r>
        <w:drawing>
          <wp:inline>
            <wp:extent cx="5943600" cy="6537960"/>
            <wp:effectExtent b="0" l="0" r="0" t="0"/>
            <wp:docPr descr="Figure 3: Geographic characteristics (means) over time for immigrants in different- and same-sex couples, based on American Community Survey data for 2008-2022" title="" id="68" name="Picture"/>
            <a:graphic>
              <a:graphicData uri="http://schemas.openxmlformats.org/drawingml/2006/picture">
                <pic:pic>
                  <pic:nvPicPr>
                    <pic:cNvPr descr="ssimm_geo_files/figure-docx/desc-time-2-1.png" id="69" name="Picture"/>
                    <pic:cNvPicPr>
                      <a:picLocks noChangeArrowheads="1" noChangeAspect="1"/>
                    </pic:cNvPicPr>
                  </pic:nvPicPr>
                  <pic:blipFill>
                    <a:blip r:embed="rId67"/>
                    <a:stretch>
                      <a:fillRect/>
                    </a:stretch>
                  </pic:blipFill>
                  <pic:spPr bwMode="auto">
                    <a:xfrm>
                      <a:off x="0" y="0"/>
                      <a:ext cx="5943600" cy="6537960"/>
                    </a:xfrm>
                    <a:prstGeom prst="rect">
                      <a:avLst/>
                    </a:prstGeom>
                    <a:noFill/>
                    <a:ln w="9525">
                      <a:noFill/>
                      <a:headEnd/>
                      <a:tailEnd/>
                    </a:ln>
                  </pic:spPr>
                </pic:pic>
              </a:graphicData>
            </a:graphic>
          </wp:inline>
        </w:drawing>
      </w:r>
    </w:p>
    <w:p>
      <w:pPr>
        <w:pStyle w:val="ImageCaption"/>
      </w:pPr>
      <w:bookmarkStart w:id="70" w:name="fig:desc-time-2"/>
      <w:bookmarkEnd w:id="70"/>
      <w:r>
        <w:t xml:space="preserve">Figure 3: Geographic characteristics (means) over time for immigrants in different- and same-sex couples, based on American Community Survey data for 2008-2022</w:t>
      </w:r>
    </w:p>
    <w:bookmarkEnd w:id="71"/>
    <w:sectPr w:rsidR="00BE500F">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7CF842E0"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2A837C" w14:textId="77777777" w:rsidR="005E021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55029BC1"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1E297B" w14:textId="77777777" w:rsidR="005E021F"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hyperlink r:id="rId24">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B86FFC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71E45D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006850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7C892A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63234D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754727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A34D71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62B5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CA85EB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97609B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272B6C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9B50D94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2"/>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2"/>
  </w:num>
  <w:num w16cid:durableId="2144537097" w:numId="13">
    <w:abstractNumId w:val="10"/>
  </w:num>
  <w:num w16cid:durableId="236670500"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7D2F"/>
    <w:pPr>
      <w:spacing w:after="0" w:line="480" w:lineRule="auto"/>
      <w:ind w:firstLine="720"/>
      <w:jc w:val="both"/>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27D2F"/>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59" Target="media/rId59.png" /><Relationship Type="http://schemas.openxmlformats.org/officeDocument/2006/relationships/hyperlink" Id="rId34" Target="https://doi.org/10.1007/978-3-030-10910-3_11" TargetMode="External" /><Relationship Type="http://schemas.openxmlformats.org/officeDocument/2006/relationships/hyperlink" Id="rId31" Target="https://doi.org/10.1007/978-94-007-5512-3" TargetMode="External" /><Relationship Type="http://schemas.openxmlformats.org/officeDocument/2006/relationships/hyperlink" Id="rId48" Target="https://doi.org/10.1007/s12122-020-09305-4" TargetMode="External" /><Relationship Type="http://schemas.openxmlformats.org/officeDocument/2006/relationships/hyperlink" Id="rId46" Target="https://doi.org/10.1093/sf/soad108" TargetMode="External" /><Relationship Type="http://schemas.openxmlformats.org/officeDocument/2006/relationships/hyperlink" Id="rId37" Target="https://doi.org/10.1111/kykl.12206" TargetMode="External" /><Relationship Type="http://schemas.openxmlformats.org/officeDocument/2006/relationships/hyperlink" Id="rId44" Target="https://doi.org/10.1177/01979183231187623" TargetMode="External" /><Relationship Type="http://schemas.openxmlformats.org/officeDocument/2006/relationships/hyperlink" Id="rId24"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34" Target="https://doi.org/10.1007/978-3-030-10910-3_11" TargetMode="External" /><Relationship Type="http://schemas.openxmlformats.org/officeDocument/2006/relationships/hyperlink" Id="rId31" Target="https://doi.org/10.1007/978-94-007-5512-3" TargetMode="External" /><Relationship Type="http://schemas.openxmlformats.org/officeDocument/2006/relationships/hyperlink" Id="rId48" Target="https://doi.org/10.1007/s12122-020-09305-4" TargetMode="External" /><Relationship Type="http://schemas.openxmlformats.org/officeDocument/2006/relationships/hyperlink" Id="rId46" Target="https://doi.org/10.1093/sf/soad108" TargetMode="External" /><Relationship Type="http://schemas.openxmlformats.org/officeDocument/2006/relationships/hyperlink" Id="rId37" Target="https://doi.org/10.1111/kykl.12206" TargetMode="External" /><Relationship Type="http://schemas.openxmlformats.org/officeDocument/2006/relationships/hyperlink" Id="rId44" Target="https://doi.org/10.1177/01979183231187623" TargetMode="External" /><Relationship Type="http://schemas.openxmlformats.org/officeDocument/2006/relationships/hyperlink" Id="rId24"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word-template.dotx</Template>
  <TotalTime>0</TotalTime>
  <Pages>35</Pages>
  <Words>12944</Words>
  <Characters>73782</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86553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LGB Policy and the Geography of Immigrants in Same-Sex Couples in the United States</dc:title>
  <dc:creator>Nathan I. Hoffmann, Department of Sociology, UCLA; Kristopher Velasco, Department of Sociology, Princeton University</dc:creator>
  <dc:language>en-US</dc:language>
  <cp:keywords/>
  <dcterms:created xsi:type="dcterms:W3CDTF">2024-08-28T05:56:41Z</dcterms:created>
  <dcterms:modified xsi:type="dcterms:W3CDTF">2024-08-28T05:56:41Z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How do queer immigrants decide where to settle? The policy landscape for same-sex couples in the United States has changed rapidly in recent years, with immigrants being particularly affected. After the 2013 end of the Defense of Marriage Act, U.S. citizens could finally sponsor the visa of a same-sex partner. As previous work of ours has shown, in the wake of this policy change there has been a rapid increase of immigrants in same-sex couples, at least for those from progressive countries (Hoffmann &amp; Velasco 2024). But little is known about where these immigrants choose to settle and enjoy their new rights. Do they gravitate toward queer-friendly cities and states, or are they more concerned with job opportunities or cost of living? How have these patterns changed over time, especially in response to local policy changes relevant to queer people and immigrants? Using American Community Survey data from 2008-2022, this paper will implement descriptive analyses and conditional logit models to study how settlement patterns of immigrants in same-sex couples in the U.S. respond to local and national policy changes as well as other local factors. These geographic measures will include the Human Rights Campaign’s Municipal Equality Index, Velasco’s LGBT Policy Index for U.S. states, and a host of other local measures such as housing prices, average income, queer density, and prevalence of immigrants from the same national origins.</vt:lpwstr>
  </property>
  <property fmtid="{D5CDD505-2E9C-101B-9397-08002B2CF9AE}" pid="3" name="always_allow_html">
    <vt:lpwstr>True</vt:lpwstr>
  </property>
  <property fmtid="{D5CDD505-2E9C-101B-9397-08002B2CF9AE}" pid="4" name="bibliography">
    <vt:lpwstr>/Users/nathan/My Drive/Projects/2020 Same-Sex Immigrant Couples/Same-Sex Immigration.bib</vt:lpwstr>
  </property>
  <property fmtid="{D5CDD505-2E9C-101B-9397-08002B2CF9AE}" pid="5" name="citeproc">
    <vt:lpwstr>False</vt:lpwstr>
  </property>
  <property fmtid="{D5CDD505-2E9C-101B-9397-08002B2CF9AE}" pid="6" name="date">
    <vt:lpwstr>August 27, 2024</vt:lpwstr>
  </property>
  <property fmtid="{D5CDD505-2E9C-101B-9397-08002B2CF9AE}" pid="7" name="editor_options">
    <vt:lpwstr/>
  </property>
  <property fmtid="{D5CDD505-2E9C-101B-9397-08002B2CF9AE}" pid="8" name="fontfamily">
    <vt:lpwstr>mathpazo</vt:lpwstr>
  </property>
  <property fmtid="{D5CDD505-2E9C-101B-9397-08002B2CF9AE}" pid="9" name="fontsize">
    <vt:lpwstr>11pt</vt:lpwstr>
  </property>
  <property fmtid="{D5CDD505-2E9C-101B-9397-08002B2CF9AE}" pid="10" name="geometry">
    <vt:lpwstr>margin= 1in</vt:lpwstr>
  </property>
  <property fmtid="{D5CDD505-2E9C-101B-9397-08002B2CF9AE}" pid="11" name="header-includes">
    <vt:lpwstr/>
  </property>
  <property fmtid="{D5CDD505-2E9C-101B-9397-08002B2CF9AE}" pid="12" name="indent">
    <vt:lpwstr>True</vt:lpwstr>
  </property>
  <property fmtid="{D5CDD505-2E9C-101B-9397-08002B2CF9AE}" pid="13" name="link-citations">
    <vt:lpwstr>True</vt:lpwstr>
  </property>
  <property fmtid="{D5CDD505-2E9C-101B-9397-08002B2CF9AE}" pid="14" name="linkcolor">
    <vt:lpwstr>blue</vt:lpwstr>
  </property>
  <property fmtid="{D5CDD505-2E9C-101B-9397-08002B2CF9AE}" pid="15" name="output">
    <vt:lpwstr/>
  </property>
  <property fmtid="{D5CDD505-2E9C-101B-9397-08002B2CF9AE}" pid="16" name="subtitle">
    <vt:lpwstr>Same-sex marriage and Migration Workshop in Amsterdam</vt:lpwstr>
  </property>
</Properties>
</file>